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FD29" w14:textId="73D7ADA5" w:rsidR="00D97A8F" w:rsidRPr="00E413A3" w:rsidRDefault="00D97A8F" w:rsidP="00E413A3">
      <w:pPr>
        <w:spacing w:before="240"/>
        <w:rPr>
          <w:sz w:val="24"/>
          <w:szCs w:val="24"/>
        </w:rPr>
      </w:pPr>
      <w:r w:rsidRPr="00E413A3">
        <w:rPr>
          <w:b/>
          <w:bCs/>
          <w:sz w:val="24"/>
          <w:szCs w:val="24"/>
        </w:rPr>
        <w:t>TITLE</w:t>
      </w:r>
      <w:r w:rsidRPr="00E413A3">
        <w:rPr>
          <w:sz w:val="24"/>
          <w:szCs w:val="24"/>
        </w:rPr>
        <w:t>: Humanizing the CAEP Accreditation Process</w:t>
      </w:r>
      <w:r w:rsidR="00B81FBC" w:rsidRPr="00E413A3">
        <w:rPr>
          <w:sz w:val="24"/>
          <w:szCs w:val="24"/>
        </w:rPr>
        <w:t>: Enacting Change from the Inside Out</w:t>
      </w:r>
    </w:p>
    <w:p w14:paraId="2DD9469D" w14:textId="2D73549B" w:rsidR="00D97A8F" w:rsidRPr="00E413A3" w:rsidRDefault="00D97A8F">
      <w:pPr>
        <w:rPr>
          <w:sz w:val="24"/>
          <w:szCs w:val="24"/>
        </w:rPr>
      </w:pPr>
      <w:r w:rsidRPr="00E413A3">
        <w:rPr>
          <w:b/>
          <w:bCs/>
          <w:sz w:val="24"/>
          <w:szCs w:val="24"/>
        </w:rPr>
        <w:t>Abstract</w:t>
      </w:r>
      <w:r w:rsidRPr="00E413A3">
        <w:rPr>
          <w:sz w:val="24"/>
          <w:szCs w:val="24"/>
        </w:rPr>
        <w:t xml:space="preserve">: </w:t>
      </w:r>
    </w:p>
    <w:p w14:paraId="3C819214" w14:textId="5D4C5354" w:rsidR="00D97A8F" w:rsidRPr="00E413A3" w:rsidRDefault="00D97A8F" w:rsidP="000C041F">
      <w:pPr>
        <w:spacing w:line="360" w:lineRule="auto"/>
        <w:rPr>
          <w:rFonts w:eastAsia="Times New Roman" w:cstheme="minorHAnsi"/>
          <w:sz w:val="24"/>
          <w:szCs w:val="24"/>
        </w:rPr>
      </w:pPr>
      <w:r w:rsidRPr="00E413A3">
        <w:rPr>
          <w:rFonts w:eastAsia="Times New Roman" w:cstheme="minorHAnsi"/>
          <w:sz w:val="24"/>
          <w:szCs w:val="24"/>
        </w:rPr>
        <w:t>To achieve or to renew accreditation, E</w:t>
      </w:r>
      <w:r w:rsidR="00B81FBC" w:rsidRPr="00E413A3">
        <w:rPr>
          <w:rFonts w:eastAsia="Times New Roman" w:cstheme="minorHAnsi"/>
          <w:sz w:val="24"/>
          <w:szCs w:val="24"/>
        </w:rPr>
        <w:t xml:space="preserve">ducational </w:t>
      </w:r>
      <w:r w:rsidRPr="00E413A3">
        <w:rPr>
          <w:rFonts w:eastAsia="Times New Roman" w:cstheme="minorHAnsi"/>
          <w:sz w:val="24"/>
          <w:szCs w:val="24"/>
        </w:rPr>
        <w:t>P</w:t>
      </w:r>
      <w:r w:rsidR="006D7AC3" w:rsidRPr="00E413A3">
        <w:rPr>
          <w:rFonts w:eastAsia="Times New Roman" w:cstheme="minorHAnsi"/>
          <w:sz w:val="24"/>
          <w:szCs w:val="24"/>
        </w:rPr>
        <w:t xml:space="preserve">reparation </w:t>
      </w:r>
      <w:r w:rsidRPr="00E413A3">
        <w:rPr>
          <w:rFonts w:eastAsia="Times New Roman" w:cstheme="minorHAnsi"/>
          <w:sz w:val="24"/>
          <w:szCs w:val="24"/>
        </w:rPr>
        <w:t>P</w:t>
      </w:r>
      <w:r w:rsidR="006D7AC3" w:rsidRPr="00E413A3">
        <w:rPr>
          <w:rFonts w:eastAsia="Times New Roman" w:cstheme="minorHAnsi"/>
          <w:sz w:val="24"/>
          <w:szCs w:val="24"/>
        </w:rPr>
        <w:t>rovider</w:t>
      </w:r>
      <w:r w:rsidRPr="00E413A3">
        <w:rPr>
          <w:rFonts w:eastAsia="Times New Roman" w:cstheme="minorHAnsi"/>
          <w:sz w:val="24"/>
          <w:szCs w:val="24"/>
        </w:rPr>
        <w:t>s</w:t>
      </w:r>
      <w:r w:rsidR="006D7AC3" w:rsidRPr="00E413A3">
        <w:rPr>
          <w:rFonts w:eastAsia="Times New Roman" w:cstheme="minorHAnsi"/>
          <w:sz w:val="24"/>
          <w:szCs w:val="24"/>
        </w:rPr>
        <w:t xml:space="preserve"> (EPPs)</w:t>
      </w:r>
      <w:r w:rsidRPr="00E413A3">
        <w:rPr>
          <w:rFonts w:eastAsia="Times New Roman" w:cstheme="minorHAnsi"/>
          <w:sz w:val="24"/>
          <w:szCs w:val="24"/>
        </w:rPr>
        <w:t xml:space="preserve"> must generate a self-study report</w:t>
      </w:r>
      <w:r w:rsidR="008F3093" w:rsidRPr="00E413A3">
        <w:rPr>
          <w:rFonts w:eastAsia="Times New Roman" w:cstheme="minorHAnsi"/>
          <w:sz w:val="24"/>
          <w:szCs w:val="24"/>
        </w:rPr>
        <w:t xml:space="preserve"> to </w:t>
      </w:r>
      <w:r w:rsidR="00D30F81" w:rsidRPr="00E413A3">
        <w:rPr>
          <w:rFonts w:eastAsia="Times New Roman" w:cstheme="minorHAnsi"/>
          <w:sz w:val="24"/>
          <w:szCs w:val="24"/>
        </w:rPr>
        <w:t xml:space="preserve">the </w:t>
      </w:r>
      <w:r w:rsidR="008F3093" w:rsidRPr="00E413A3">
        <w:rPr>
          <w:rFonts w:eastAsia="Times New Roman" w:cstheme="minorHAnsi"/>
          <w:sz w:val="24"/>
          <w:szCs w:val="24"/>
        </w:rPr>
        <w:t>C</w:t>
      </w:r>
      <w:r w:rsidR="00D30F81" w:rsidRPr="00E413A3">
        <w:rPr>
          <w:rFonts w:eastAsia="Times New Roman" w:cstheme="minorHAnsi"/>
          <w:sz w:val="24"/>
          <w:szCs w:val="24"/>
        </w:rPr>
        <w:t xml:space="preserve">ouncil </w:t>
      </w:r>
      <w:r w:rsidR="001C2E40" w:rsidRPr="00E413A3">
        <w:rPr>
          <w:rFonts w:eastAsia="Times New Roman" w:cstheme="minorHAnsi"/>
          <w:sz w:val="24"/>
          <w:szCs w:val="24"/>
        </w:rPr>
        <w:t xml:space="preserve">for the </w:t>
      </w:r>
      <w:r w:rsidR="008F3093" w:rsidRPr="00E413A3">
        <w:rPr>
          <w:rFonts w:eastAsia="Times New Roman" w:cstheme="minorHAnsi"/>
          <w:sz w:val="24"/>
          <w:szCs w:val="24"/>
        </w:rPr>
        <w:t>A</w:t>
      </w:r>
      <w:r w:rsidR="001C2E40" w:rsidRPr="00E413A3">
        <w:rPr>
          <w:rFonts w:eastAsia="Times New Roman" w:cstheme="minorHAnsi"/>
          <w:sz w:val="24"/>
          <w:szCs w:val="24"/>
        </w:rPr>
        <w:t xml:space="preserve">ccreditation </w:t>
      </w:r>
      <w:r w:rsidR="008F3093" w:rsidRPr="00E413A3">
        <w:rPr>
          <w:rFonts w:eastAsia="Times New Roman" w:cstheme="minorHAnsi"/>
          <w:sz w:val="24"/>
          <w:szCs w:val="24"/>
        </w:rPr>
        <w:t>E</w:t>
      </w:r>
      <w:r w:rsidR="001C2E40" w:rsidRPr="00E413A3">
        <w:rPr>
          <w:rFonts w:eastAsia="Times New Roman" w:cstheme="minorHAnsi"/>
          <w:sz w:val="24"/>
          <w:szCs w:val="24"/>
        </w:rPr>
        <w:t xml:space="preserve">ducation </w:t>
      </w:r>
      <w:r w:rsidR="008F3093" w:rsidRPr="00E413A3">
        <w:rPr>
          <w:rFonts w:eastAsia="Times New Roman" w:cstheme="minorHAnsi"/>
          <w:sz w:val="24"/>
          <w:szCs w:val="24"/>
        </w:rPr>
        <w:t>P</w:t>
      </w:r>
      <w:r w:rsidR="001C2E40" w:rsidRPr="00E413A3">
        <w:rPr>
          <w:rFonts w:eastAsia="Times New Roman" w:cstheme="minorHAnsi"/>
          <w:sz w:val="24"/>
          <w:szCs w:val="24"/>
        </w:rPr>
        <w:t>reparation (CAEP)</w:t>
      </w:r>
      <w:r w:rsidRPr="00E413A3">
        <w:rPr>
          <w:rFonts w:eastAsia="Times New Roman" w:cstheme="minorHAnsi"/>
          <w:sz w:val="24"/>
          <w:szCs w:val="24"/>
        </w:rPr>
        <w:t xml:space="preserve">, proving that each of the CAEP standards is met. </w:t>
      </w:r>
      <w:r w:rsidR="003C7308" w:rsidRPr="00E413A3">
        <w:rPr>
          <w:rFonts w:eastAsia="Times New Roman" w:cstheme="minorHAnsi"/>
          <w:sz w:val="24"/>
          <w:szCs w:val="24"/>
        </w:rPr>
        <w:t xml:space="preserve">As such, this paper explores the author’s involvement in a self-study report for a graduate level literacy program and the resulting action research conducted to improve </w:t>
      </w:r>
      <w:r w:rsidR="00FF7842">
        <w:rPr>
          <w:rFonts w:eastAsia="Times New Roman" w:cstheme="minorHAnsi"/>
          <w:sz w:val="24"/>
          <w:szCs w:val="24"/>
        </w:rPr>
        <w:t>it</w:t>
      </w:r>
      <w:r w:rsidR="003C7308" w:rsidRPr="00E413A3">
        <w:rPr>
          <w:rFonts w:eastAsia="Times New Roman" w:cstheme="minorHAnsi"/>
          <w:sz w:val="24"/>
          <w:szCs w:val="24"/>
        </w:rPr>
        <w:t xml:space="preserve">. </w:t>
      </w:r>
      <w:r w:rsidR="006D7AC3" w:rsidRPr="00E413A3">
        <w:rPr>
          <w:rFonts w:eastAsia="Times New Roman" w:cstheme="minorHAnsi"/>
          <w:sz w:val="24"/>
          <w:szCs w:val="24"/>
        </w:rPr>
        <w:t>By examining the program through CAEP’s lens an inside-out view emerged, encouraging change with potential to improve access for candidates within the program</w:t>
      </w:r>
      <w:r w:rsidR="004A6765" w:rsidRPr="00E413A3">
        <w:rPr>
          <w:rFonts w:eastAsia="Times New Roman" w:cstheme="minorHAnsi"/>
          <w:sz w:val="24"/>
          <w:szCs w:val="24"/>
        </w:rPr>
        <w:t>.</w:t>
      </w:r>
      <w:r w:rsidR="003C7308" w:rsidRPr="00E413A3">
        <w:rPr>
          <w:rFonts w:eastAsia="Times New Roman" w:cstheme="minorHAnsi"/>
          <w:sz w:val="24"/>
          <w:szCs w:val="24"/>
        </w:rPr>
        <w:t xml:space="preserve"> </w:t>
      </w:r>
      <w:r w:rsidR="004A6765" w:rsidRPr="00E413A3">
        <w:rPr>
          <w:rFonts w:eastAsia="Times New Roman" w:cstheme="minorHAnsi"/>
          <w:sz w:val="24"/>
          <w:szCs w:val="24"/>
        </w:rPr>
        <w:t xml:space="preserve"> </w:t>
      </w:r>
      <w:r w:rsidR="003C7308" w:rsidRPr="00E413A3">
        <w:rPr>
          <w:rFonts w:eastAsia="Times New Roman" w:cstheme="minorHAnsi"/>
          <w:sz w:val="24"/>
          <w:szCs w:val="24"/>
        </w:rPr>
        <w:t>Specifically, it h</w:t>
      </w:r>
      <w:r w:rsidR="003C7308" w:rsidRPr="00E413A3">
        <w:rPr>
          <w:rFonts w:eastAsia="Times New Roman" w:cstheme="minorHAnsi"/>
          <w:sz w:val="24"/>
          <w:szCs w:val="24"/>
        </w:rPr>
        <w:t>ighlight</w:t>
      </w:r>
      <w:r w:rsidR="003C7308" w:rsidRPr="00E413A3">
        <w:rPr>
          <w:rFonts w:eastAsia="Times New Roman" w:cstheme="minorHAnsi"/>
          <w:sz w:val="24"/>
          <w:szCs w:val="24"/>
        </w:rPr>
        <w:t>s</w:t>
      </w:r>
      <w:r w:rsidR="003C7308" w:rsidRPr="00E413A3">
        <w:rPr>
          <w:rFonts w:eastAsia="Times New Roman" w:cstheme="minorHAnsi"/>
          <w:sz w:val="24"/>
          <w:szCs w:val="24"/>
        </w:rPr>
        <w:t xml:space="preserve"> three lessons learned </w:t>
      </w:r>
      <w:r w:rsidR="00E413A3">
        <w:rPr>
          <w:rFonts w:eastAsia="Times New Roman" w:cstheme="minorHAnsi"/>
          <w:sz w:val="24"/>
          <w:szCs w:val="24"/>
        </w:rPr>
        <w:t xml:space="preserve">which </w:t>
      </w:r>
      <w:r w:rsidR="003C7308" w:rsidRPr="00E413A3">
        <w:rPr>
          <w:rFonts w:eastAsia="Times New Roman" w:cstheme="minorHAnsi"/>
          <w:sz w:val="24"/>
          <w:szCs w:val="24"/>
        </w:rPr>
        <w:t xml:space="preserve">have potential to </w:t>
      </w:r>
      <w:r w:rsidR="004A6765" w:rsidRPr="00E413A3">
        <w:rPr>
          <w:rFonts w:eastAsia="Times New Roman" w:cstheme="minorHAnsi"/>
          <w:sz w:val="24"/>
          <w:szCs w:val="24"/>
        </w:rPr>
        <w:t xml:space="preserve">make writing </w:t>
      </w:r>
      <w:r w:rsidR="006D7AC3" w:rsidRPr="00E413A3">
        <w:rPr>
          <w:rFonts w:eastAsia="Times New Roman" w:cstheme="minorHAnsi"/>
          <w:sz w:val="24"/>
          <w:szCs w:val="24"/>
        </w:rPr>
        <w:t>future CAEP self-study</w:t>
      </w:r>
      <w:r w:rsidR="004A6765" w:rsidRPr="00E413A3">
        <w:rPr>
          <w:rFonts w:eastAsia="Times New Roman" w:cstheme="minorHAnsi"/>
          <w:sz w:val="24"/>
          <w:szCs w:val="24"/>
        </w:rPr>
        <w:t xml:space="preserve"> reports a more seamless process.</w:t>
      </w:r>
      <w:r w:rsidR="0037202A" w:rsidRPr="00E413A3">
        <w:rPr>
          <w:rFonts w:eastAsia="Times New Roman" w:cstheme="minorHAnsi"/>
          <w:sz w:val="24"/>
          <w:szCs w:val="24"/>
        </w:rPr>
        <w:t xml:space="preserve"> </w:t>
      </w:r>
    </w:p>
    <w:p w14:paraId="1931C677" w14:textId="6D505BE5" w:rsidR="008F3093" w:rsidRPr="00E413A3" w:rsidRDefault="00FF7842">
      <w:pPr>
        <w:rPr>
          <w:rFonts w:eastAsia="Times New Roman" w:cstheme="minorHAnsi"/>
          <w:b/>
          <w:bCs/>
          <w:sz w:val="24"/>
          <w:szCs w:val="24"/>
        </w:rPr>
      </w:pPr>
      <w:r>
        <w:rPr>
          <w:rFonts w:eastAsia="Times New Roman" w:cstheme="minorHAnsi"/>
          <w:b/>
          <w:bCs/>
          <w:sz w:val="24"/>
          <w:szCs w:val="24"/>
        </w:rPr>
        <w:t>Introduction</w:t>
      </w:r>
    </w:p>
    <w:p w14:paraId="2CA75B52" w14:textId="1CB646EA" w:rsidR="002F6539" w:rsidRDefault="008F3093" w:rsidP="008F3093">
      <w:pPr>
        <w:spacing w:line="360" w:lineRule="auto"/>
        <w:rPr>
          <w:rFonts w:eastAsia="Times New Roman" w:cstheme="minorHAnsi"/>
          <w:sz w:val="24"/>
          <w:szCs w:val="24"/>
        </w:rPr>
      </w:pPr>
      <w:r w:rsidRPr="00360E9C">
        <w:rPr>
          <w:rFonts w:eastAsia="Times New Roman" w:cstheme="minorHAnsi"/>
          <w:sz w:val="24"/>
          <w:szCs w:val="24"/>
        </w:rPr>
        <w:t>Accreditation is a means of quality assurance that indicates that a university/college and/or its programs has met and maintains a high level of standards established by accrediting councils and professional organizations. The Council for the Accreditation of Education Preparation (CAEP) is an “agency that accredits educator preparation providers (EPP)” that provide programs leading to teacher certification, licensure, or endorsement (CAEP, 2020, Letter C section). To achieve or to renew accreditation, EPPs must generate a self-study report, proving that each of the CAEP standards</w:t>
      </w:r>
      <w:r w:rsidR="002F6539">
        <w:rPr>
          <w:rFonts w:eastAsia="Times New Roman" w:cstheme="minorHAnsi"/>
          <w:sz w:val="24"/>
          <w:szCs w:val="24"/>
        </w:rPr>
        <w:t>, listed below,</w:t>
      </w:r>
      <w:r w:rsidRPr="00360E9C">
        <w:rPr>
          <w:rFonts w:eastAsia="Times New Roman" w:cstheme="minorHAnsi"/>
          <w:sz w:val="24"/>
          <w:szCs w:val="24"/>
        </w:rPr>
        <w:t xml:space="preserve"> is met.</w:t>
      </w:r>
      <w:r w:rsidR="002F6539">
        <w:rPr>
          <w:rFonts w:eastAsia="Times New Roman" w:cstheme="minorHAnsi"/>
          <w:sz w:val="24"/>
          <w:szCs w:val="24"/>
        </w:rPr>
        <w:t xml:space="preserve"> </w:t>
      </w:r>
    </w:p>
    <w:p w14:paraId="0EF5AF5A" w14:textId="71D29790" w:rsidR="002F6539" w:rsidRDefault="002F6539" w:rsidP="002F6539">
      <w:pPr>
        <w:pStyle w:val="ListParagraph"/>
        <w:numPr>
          <w:ilvl w:val="0"/>
          <w:numId w:val="3"/>
        </w:numPr>
        <w:spacing w:line="360" w:lineRule="auto"/>
        <w:rPr>
          <w:rFonts w:eastAsia="Times New Roman" w:cstheme="minorHAnsi"/>
        </w:rPr>
      </w:pPr>
      <w:r>
        <w:rPr>
          <w:rFonts w:eastAsia="Times New Roman" w:cstheme="minorHAnsi"/>
        </w:rPr>
        <w:t>Standard RA.1: Content and Pedagogical Knowledge</w:t>
      </w:r>
    </w:p>
    <w:p w14:paraId="17B5C123" w14:textId="0D5F1468" w:rsidR="002F6539" w:rsidRDefault="002F6539" w:rsidP="002F6539">
      <w:pPr>
        <w:pStyle w:val="ListParagraph"/>
        <w:numPr>
          <w:ilvl w:val="0"/>
          <w:numId w:val="3"/>
        </w:numPr>
        <w:spacing w:line="360" w:lineRule="auto"/>
        <w:rPr>
          <w:rFonts w:eastAsia="Times New Roman" w:cstheme="minorHAnsi"/>
        </w:rPr>
      </w:pPr>
      <w:r>
        <w:rPr>
          <w:rFonts w:eastAsia="Times New Roman" w:cstheme="minorHAnsi"/>
        </w:rPr>
        <w:t>Standard RA.2: Clinical Partnerships and Practice</w:t>
      </w:r>
    </w:p>
    <w:p w14:paraId="44E00BAD" w14:textId="3C1B3643" w:rsidR="002F6539" w:rsidRDefault="002F6539" w:rsidP="002F6539">
      <w:pPr>
        <w:pStyle w:val="ListParagraph"/>
        <w:numPr>
          <w:ilvl w:val="0"/>
          <w:numId w:val="3"/>
        </w:numPr>
        <w:spacing w:line="360" w:lineRule="auto"/>
        <w:rPr>
          <w:rFonts w:eastAsia="Times New Roman" w:cstheme="minorHAnsi"/>
        </w:rPr>
      </w:pPr>
      <w:r>
        <w:rPr>
          <w:rFonts w:eastAsia="Times New Roman" w:cstheme="minorHAnsi"/>
        </w:rPr>
        <w:t>Standard RA.3: Candidate Quality and Selectivity</w:t>
      </w:r>
    </w:p>
    <w:p w14:paraId="69DCB75D" w14:textId="097A831D" w:rsidR="002F6539" w:rsidRDefault="002F6539" w:rsidP="002F6539">
      <w:pPr>
        <w:pStyle w:val="ListParagraph"/>
        <w:numPr>
          <w:ilvl w:val="0"/>
          <w:numId w:val="3"/>
        </w:numPr>
        <w:spacing w:line="360" w:lineRule="auto"/>
        <w:rPr>
          <w:rFonts w:eastAsia="Times New Roman" w:cstheme="minorHAnsi"/>
        </w:rPr>
      </w:pPr>
      <w:r>
        <w:rPr>
          <w:rFonts w:eastAsia="Times New Roman" w:cstheme="minorHAnsi"/>
        </w:rPr>
        <w:t>Standard RA.4: Satisfaction with Preparation</w:t>
      </w:r>
    </w:p>
    <w:p w14:paraId="1830C44D" w14:textId="2B421ED8" w:rsidR="002F6539" w:rsidRDefault="002F6539" w:rsidP="002F6539">
      <w:pPr>
        <w:pStyle w:val="ListParagraph"/>
        <w:numPr>
          <w:ilvl w:val="0"/>
          <w:numId w:val="3"/>
        </w:numPr>
        <w:spacing w:line="360" w:lineRule="auto"/>
        <w:rPr>
          <w:rFonts w:eastAsia="Times New Roman" w:cstheme="minorHAnsi"/>
        </w:rPr>
      </w:pPr>
      <w:r>
        <w:rPr>
          <w:rFonts w:eastAsia="Times New Roman" w:cstheme="minorHAnsi"/>
        </w:rPr>
        <w:t>Standard RA.5: Quality Assurance System and Continuous Improvement</w:t>
      </w:r>
    </w:p>
    <w:p w14:paraId="59EE2DFB" w14:textId="22B0ED8C" w:rsidR="002F6539" w:rsidRPr="002F6539" w:rsidRDefault="002F6539" w:rsidP="002F6539">
      <w:pPr>
        <w:pStyle w:val="ListParagraph"/>
        <w:numPr>
          <w:ilvl w:val="0"/>
          <w:numId w:val="3"/>
        </w:numPr>
        <w:spacing w:after="240" w:line="360" w:lineRule="auto"/>
        <w:rPr>
          <w:rFonts w:eastAsia="Times New Roman" w:cstheme="minorHAnsi"/>
        </w:rPr>
      </w:pPr>
      <w:r>
        <w:rPr>
          <w:rFonts w:eastAsia="Times New Roman" w:cstheme="minorHAnsi"/>
        </w:rPr>
        <w:t>Standard RA.6: Fiscal and Administrative Capacity</w:t>
      </w:r>
    </w:p>
    <w:p w14:paraId="0F015070" w14:textId="76A2877B" w:rsidR="008F3093" w:rsidRPr="00360E9C" w:rsidRDefault="0059456E" w:rsidP="008F3093">
      <w:pPr>
        <w:spacing w:line="360" w:lineRule="auto"/>
        <w:rPr>
          <w:rFonts w:eastAsia="Times New Roman" w:cstheme="minorHAnsi"/>
          <w:sz w:val="24"/>
          <w:szCs w:val="24"/>
        </w:rPr>
      </w:pPr>
      <w:r w:rsidRPr="00360E9C">
        <w:rPr>
          <w:rFonts w:eastAsia="Times New Roman" w:cstheme="minorHAnsi"/>
          <w:sz w:val="24"/>
          <w:szCs w:val="24"/>
        </w:rPr>
        <w:t>My</w:t>
      </w:r>
      <w:r w:rsidRPr="00360E9C">
        <w:rPr>
          <w:rFonts w:eastAsia="Times New Roman" w:cstheme="minorHAnsi"/>
          <w:sz w:val="24"/>
          <w:szCs w:val="24"/>
        </w:rPr>
        <w:t xml:space="preserve"> engagement in writing the self-study report led to an in-depth exploration of </w:t>
      </w:r>
      <w:r w:rsidRPr="00360E9C">
        <w:rPr>
          <w:rFonts w:eastAsia="Times New Roman" w:cstheme="minorHAnsi"/>
          <w:sz w:val="24"/>
          <w:szCs w:val="24"/>
        </w:rPr>
        <w:t>the literacy</w:t>
      </w:r>
      <w:r w:rsidRPr="00360E9C">
        <w:rPr>
          <w:rFonts w:eastAsia="Times New Roman" w:cstheme="minorHAnsi"/>
          <w:sz w:val="24"/>
          <w:szCs w:val="24"/>
        </w:rPr>
        <w:t xml:space="preserve"> program, yielding valuable lessons</w:t>
      </w:r>
      <w:r w:rsidR="00FF7842">
        <w:rPr>
          <w:rFonts w:eastAsia="Times New Roman" w:cstheme="minorHAnsi"/>
          <w:sz w:val="24"/>
          <w:szCs w:val="24"/>
        </w:rPr>
        <w:t>.</w:t>
      </w:r>
      <w:r w:rsidRPr="00360E9C">
        <w:rPr>
          <w:rFonts w:eastAsia="Times New Roman" w:cstheme="minorHAnsi"/>
          <w:sz w:val="24"/>
          <w:szCs w:val="24"/>
        </w:rPr>
        <w:t xml:space="preserve"> </w:t>
      </w:r>
      <w:r w:rsidR="00FF7842">
        <w:rPr>
          <w:rFonts w:eastAsia="Times New Roman" w:cstheme="minorHAnsi"/>
          <w:sz w:val="24"/>
          <w:szCs w:val="24"/>
        </w:rPr>
        <w:t xml:space="preserve">By focusing on </w:t>
      </w:r>
      <w:r w:rsidRPr="00360E9C">
        <w:rPr>
          <w:rFonts w:eastAsia="Times New Roman" w:cstheme="minorHAnsi"/>
          <w:sz w:val="24"/>
          <w:szCs w:val="24"/>
        </w:rPr>
        <w:t xml:space="preserve">three lessons learned and their implications for ongoing self-assessment, </w:t>
      </w:r>
      <w:r w:rsidR="00FF7842">
        <w:rPr>
          <w:rFonts w:eastAsia="Times New Roman" w:cstheme="minorHAnsi"/>
          <w:sz w:val="24"/>
          <w:szCs w:val="24"/>
        </w:rPr>
        <w:t>I, along with a colleague</w:t>
      </w:r>
      <w:r w:rsidR="002F6539">
        <w:rPr>
          <w:rFonts w:eastAsia="Times New Roman" w:cstheme="minorHAnsi"/>
          <w:sz w:val="24"/>
          <w:szCs w:val="24"/>
        </w:rPr>
        <w:t>,</w:t>
      </w:r>
      <w:r w:rsidR="00FF7842">
        <w:rPr>
          <w:rFonts w:eastAsia="Times New Roman" w:cstheme="minorHAnsi"/>
          <w:sz w:val="24"/>
          <w:szCs w:val="24"/>
        </w:rPr>
        <w:t xml:space="preserve"> now retired, recognized the importance of the </w:t>
      </w:r>
      <w:r w:rsidRPr="00360E9C">
        <w:rPr>
          <w:rFonts w:eastAsia="Times New Roman" w:cstheme="minorHAnsi"/>
          <w:sz w:val="24"/>
          <w:szCs w:val="24"/>
        </w:rPr>
        <w:t xml:space="preserve">alignment of assessments with standards and the </w:t>
      </w:r>
      <w:r w:rsidR="00FF7842">
        <w:rPr>
          <w:rFonts w:eastAsia="Times New Roman" w:cstheme="minorHAnsi"/>
          <w:sz w:val="24"/>
          <w:szCs w:val="24"/>
        </w:rPr>
        <w:t xml:space="preserve">need for </w:t>
      </w:r>
      <w:r w:rsidRPr="00360E9C">
        <w:rPr>
          <w:rFonts w:eastAsia="Times New Roman" w:cstheme="minorHAnsi"/>
          <w:sz w:val="24"/>
          <w:szCs w:val="24"/>
        </w:rPr>
        <w:t xml:space="preserve">a database of student exemplars. Furthermore, </w:t>
      </w:r>
      <w:r w:rsidR="00FE3E62">
        <w:rPr>
          <w:rFonts w:eastAsia="Times New Roman" w:cstheme="minorHAnsi"/>
          <w:sz w:val="24"/>
          <w:szCs w:val="24"/>
        </w:rPr>
        <w:t xml:space="preserve">our involvement became an action research project allowing us to </w:t>
      </w:r>
      <w:r w:rsidRPr="00360E9C">
        <w:rPr>
          <w:rFonts w:eastAsia="Times New Roman" w:cstheme="minorHAnsi"/>
          <w:sz w:val="24"/>
          <w:szCs w:val="24"/>
        </w:rPr>
        <w:t xml:space="preserve">explore potential changes in the </w:t>
      </w:r>
      <w:r w:rsidRPr="00360E9C">
        <w:rPr>
          <w:rFonts w:eastAsia="Times New Roman" w:cstheme="minorHAnsi"/>
          <w:sz w:val="24"/>
          <w:szCs w:val="24"/>
        </w:rPr>
        <w:lastRenderedPageBreak/>
        <w:t>program structure to improve accessibility and promote continued accreditation.</w:t>
      </w:r>
      <w:r w:rsidR="002F6539">
        <w:rPr>
          <w:rFonts w:eastAsia="Times New Roman" w:cstheme="minorHAnsi"/>
          <w:sz w:val="24"/>
          <w:szCs w:val="24"/>
        </w:rPr>
        <w:t xml:space="preserve"> </w:t>
      </w:r>
      <w:r w:rsidRPr="00360E9C">
        <w:rPr>
          <w:rFonts w:eastAsia="Times New Roman" w:cstheme="minorHAnsi"/>
          <w:sz w:val="24"/>
          <w:szCs w:val="24"/>
        </w:rPr>
        <w:t>T</w:t>
      </w:r>
      <w:r w:rsidR="006A25E9" w:rsidRPr="00360E9C">
        <w:rPr>
          <w:rFonts w:eastAsia="Times New Roman" w:cstheme="minorHAnsi"/>
          <w:sz w:val="24"/>
          <w:szCs w:val="24"/>
        </w:rPr>
        <w:t>hree</w:t>
      </w:r>
      <w:r w:rsidR="008F3093" w:rsidRPr="00360E9C">
        <w:rPr>
          <w:rFonts w:eastAsia="Times New Roman" w:cstheme="minorHAnsi"/>
          <w:sz w:val="24"/>
          <w:szCs w:val="24"/>
        </w:rPr>
        <w:t xml:space="preserve"> lessons</w:t>
      </w:r>
      <w:r w:rsidRPr="00360E9C">
        <w:rPr>
          <w:rFonts w:eastAsia="Times New Roman" w:cstheme="minorHAnsi"/>
          <w:sz w:val="24"/>
          <w:szCs w:val="24"/>
        </w:rPr>
        <w:t xml:space="preserve"> learned</w:t>
      </w:r>
      <w:r w:rsidR="006A25E9" w:rsidRPr="00360E9C">
        <w:rPr>
          <w:rFonts w:eastAsia="Times New Roman" w:cstheme="minorHAnsi"/>
          <w:sz w:val="24"/>
          <w:szCs w:val="24"/>
        </w:rPr>
        <w:t xml:space="preserve"> and </w:t>
      </w:r>
      <w:r w:rsidR="00FE3E62">
        <w:rPr>
          <w:rFonts w:eastAsia="Times New Roman" w:cstheme="minorHAnsi"/>
          <w:sz w:val="24"/>
          <w:szCs w:val="24"/>
        </w:rPr>
        <w:t xml:space="preserve">the actions we implemented </w:t>
      </w:r>
      <w:r w:rsidR="00621A61" w:rsidRPr="00360E9C">
        <w:rPr>
          <w:rFonts w:eastAsia="Times New Roman" w:cstheme="minorHAnsi"/>
          <w:sz w:val="24"/>
          <w:szCs w:val="24"/>
        </w:rPr>
        <w:t>are outlined below.</w:t>
      </w:r>
    </w:p>
    <w:p w14:paraId="3A40346C" w14:textId="5F19DE1F" w:rsidR="0059456E" w:rsidRPr="0059456E" w:rsidRDefault="008F3093" w:rsidP="0059456E">
      <w:pPr>
        <w:pStyle w:val="ListParagraph"/>
        <w:numPr>
          <w:ilvl w:val="0"/>
          <w:numId w:val="1"/>
        </w:numPr>
        <w:spacing w:line="360" w:lineRule="auto"/>
        <w:rPr>
          <w:rFonts w:eastAsia="Times New Roman" w:cstheme="minorHAnsi"/>
        </w:rPr>
      </w:pPr>
      <w:r w:rsidRPr="00D37C9D">
        <w:rPr>
          <w:rFonts w:eastAsia="Times New Roman" w:cstheme="minorHAnsi"/>
          <w:b/>
        </w:rPr>
        <w:t xml:space="preserve">Charting the waters. </w:t>
      </w:r>
      <w:r w:rsidRPr="00D37C9D">
        <w:rPr>
          <w:rFonts w:eastAsia="Times New Roman" w:cstheme="minorHAnsi"/>
        </w:rPr>
        <w:t xml:space="preserve">To determine the best matches for each criterion of the standards, </w:t>
      </w:r>
      <w:r w:rsidR="004C38D0">
        <w:rPr>
          <w:rFonts w:eastAsia="Times New Roman" w:cstheme="minorHAnsi"/>
        </w:rPr>
        <w:t xml:space="preserve">we </w:t>
      </w:r>
      <w:r w:rsidRPr="00D37C9D">
        <w:rPr>
          <w:rFonts w:eastAsia="Times New Roman" w:cstheme="minorHAnsi"/>
        </w:rPr>
        <w:t xml:space="preserve">created a chart </w:t>
      </w:r>
      <w:r w:rsidR="0059456E" w:rsidRPr="0059456E">
        <w:rPr>
          <w:rFonts w:eastAsia="Times New Roman" w:cstheme="minorHAnsi"/>
        </w:rPr>
        <w:t xml:space="preserve">that listed the indicators of each standard and their corresponding courses. </w:t>
      </w:r>
      <w:r w:rsidR="0059456E">
        <w:rPr>
          <w:rFonts w:eastAsia="Times New Roman" w:cstheme="minorHAnsi"/>
        </w:rPr>
        <w:t>We</w:t>
      </w:r>
      <w:r w:rsidR="0059456E" w:rsidRPr="0059456E">
        <w:rPr>
          <w:rFonts w:eastAsia="Times New Roman" w:cstheme="minorHAnsi"/>
        </w:rPr>
        <w:t xml:space="preserve"> included assessments as evidence to support how the program addressed each standard. Initially developed to assist in writing the self-study report, </w:t>
      </w:r>
      <w:r w:rsidR="0059456E">
        <w:rPr>
          <w:rFonts w:eastAsia="Times New Roman" w:cstheme="minorHAnsi"/>
        </w:rPr>
        <w:t>we</w:t>
      </w:r>
      <w:r w:rsidR="0059456E" w:rsidRPr="0059456E">
        <w:rPr>
          <w:rFonts w:eastAsia="Times New Roman" w:cstheme="minorHAnsi"/>
        </w:rPr>
        <w:t xml:space="preserve"> realized that the chart could also be used for ongoing self-assessment and</w:t>
      </w:r>
      <w:r w:rsidR="0059456E">
        <w:rPr>
          <w:rFonts w:eastAsia="Times New Roman" w:cstheme="minorHAnsi"/>
        </w:rPr>
        <w:t xml:space="preserve"> </w:t>
      </w:r>
      <w:r w:rsidR="0059456E" w:rsidRPr="0059456E">
        <w:rPr>
          <w:rFonts w:eastAsia="Times New Roman" w:cstheme="minorHAnsi"/>
        </w:rPr>
        <w:t>future accreditation processes. This lesson highlights the importance of organizing and aligning program components with accreditation standards for improved clarity and efficiency.</w:t>
      </w:r>
    </w:p>
    <w:p w14:paraId="487F13F1" w14:textId="47E36367" w:rsidR="008F3093" w:rsidRPr="0059456E" w:rsidRDefault="008F3093" w:rsidP="0059456E">
      <w:pPr>
        <w:pStyle w:val="ListParagraph"/>
        <w:numPr>
          <w:ilvl w:val="0"/>
          <w:numId w:val="1"/>
        </w:numPr>
        <w:spacing w:line="360" w:lineRule="auto"/>
        <w:rPr>
          <w:rFonts w:eastAsia="Times New Roman" w:cstheme="minorHAnsi"/>
        </w:rPr>
      </w:pPr>
      <w:r w:rsidRPr="00D37C9D">
        <w:rPr>
          <w:rFonts w:eastAsia="Times New Roman" w:cstheme="minorHAnsi"/>
          <w:b/>
        </w:rPr>
        <w:t>Align</w:t>
      </w:r>
      <w:r w:rsidR="004A6765">
        <w:rPr>
          <w:rFonts w:eastAsia="Times New Roman" w:cstheme="minorHAnsi"/>
          <w:b/>
        </w:rPr>
        <w:t>ing</w:t>
      </w:r>
      <w:r w:rsidRPr="00D37C9D">
        <w:rPr>
          <w:rFonts w:eastAsia="Times New Roman" w:cstheme="minorHAnsi"/>
          <w:b/>
        </w:rPr>
        <w:t xml:space="preserve"> each assessment with standards and grading scale</w:t>
      </w:r>
      <w:r w:rsidR="004A6765">
        <w:rPr>
          <w:rFonts w:eastAsia="Times New Roman" w:cstheme="minorHAnsi"/>
          <w:b/>
        </w:rPr>
        <w:t>s</w:t>
      </w:r>
      <w:r w:rsidRPr="00D37C9D">
        <w:rPr>
          <w:rFonts w:eastAsia="Times New Roman" w:cstheme="minorHAnsi"/>
          <w:b/>
        </w:rPr>
        <w:t xml:space="preserve">. </w:t>
      </w:r>
      <w:r w:rsidRPr="00D37C9D">
        <w:rPr>
          <w:rFonts w:eastAsia="Times New Roman" w:cstheme="minorHAnsi"/>
        </w:rPr>
        <w:t>Though designed with the standards in mind, we failed to list them directly on assignment guidelines or rubrics.</w:t>
      </w:r>
      <w:r w:rsidR="0059456E">
        <w:rPr>
          <w:rFonts w:eastAsia="Times New Roman" w:cstheme="minorHAnsi"/>
        </w:rPr>
        <w:t xml:space="preserve"> This lack of transparency became an issue, as candidates may not have been aware of the standards being assessed.</w:t>
      </w:r>
      <w:r w:rsidRPr="0059456E">
        <w:rPr>
          <w:rFonts w:eastAsia="Times New Roman" w:cstheme="minorHAnsi"/>
        </w:rPr>
        <w:t xml:space="preserve"> </w:t>
      </w:r>
      <w:r w:rsidR="00621A61">
        <w:rPr>
          <w:rFonts w:eastAsia="Times New Roman" w:cstheme="minorHAnsi"/>
        </w:rPr>
        <w:t xml:space="preserve">To address this, </w:t>
      </w:r>
      <w:r w:rsidRPr="0059456E">
        <w:rPr>
          <w:rFonts w:eastAsia="Times New Roman" w:cstheme="minorHAnsi"/>
        </w:rPr>
        <w:t>we revis</w:t>
      </w:r>
      <w:r w:rsidR="00386876" w:rsidRPr="0059456E">
        <w:rPr>
          <w:rFonts w:eastAsia="Times New Roman" w:cstheme="minorHAnsi"/>
        </w:rPr>
        <w:t>ed</w:t>
      </w:r>
      <w:r w:rsidRPr="0059456E">
        <w:rPr>
          <w:rFonts w:eastAsia="Times New Roman" w:cstheme="minorHAnsi"/>
        </w:rPr>
        <w:t xml:space="preserve"> all </w:t>
      </w:r>
      <w:r w:rsidR="00621A61">
        <w:rPr>
          <w:rFonts w:eastAsia="Times New Roman" w:cstheme="minorHAnsi"/>
        </w:rPr>
        <w:t>assessment materials</w:t>
      </w:r>
      <w:r w:rsidRPr="0059456E">
        <w:rPr>
          <w:rFonts w:eastAsia="Times New Roman" w:cstheme="minorHAnsi"/>
        </w:rPr>
        <w:t xml:space="preserve"> to include </w:t>
      </w:r>
      <w:r w:rsidR="00621A61">
        <w:rPr>
          <w:rFonts w:eastAsia="Times New Roman" w:cstheme="minorHAnsi"/>
        </w:rPr>
        <w:t xml:space="preserve">explicit references to both the CAEP </w:t>
      </w:r>
      <w:r w:rsidRPr="0059456E">
        <w:rPr>
          <w:rFonts w:eastAsia="Times New Roman" w:cstheme="minorHAnsi"/>
        </w:rPr>
        <w:t>standards</w:t>
      </w:r>
      <w:r w:rsidR="00386876" w:rsidRPr="0059456E">
        <w:rPr>
          <w:rFonts w:eastAsia="Times New Roman" w:cstheme="minorHAnsi"/>
        </w:rPr>
        <w:t xml:space="preserve"> and </w:t>
      </w:r>
      <w:r w:rsidR="00621A61">
        <w:rPr>
          <w:rFonts w:eastAsia="Times New Roman" w:cstheme="minorHAnsi"/>
        </w:rPr>
        <w:t xml:space="preserve">relevant </w:t>
      </w:r>
      <w:r w:rsidR="00386876" w:rsidRPr="0059456E">
        <w:rPr>
          <w:rFonts w:eastAsia="Times New Roman" w:cstheme="minorHAnsi"/>
        </w:rPr>
        <w:t>professional organization</w:t>
      </w:r>
      <w:r w:rsidR="00621A61">
        <w:rPr>
          <w:rFonts w:eastAsia="Times New Roman" w:cstheme="minorHAnsi"/>
        </w:rPr>
        <w:t xml:space="preserve"> standards</w:t>
      </w:r>
      <w:r w:rsidR="00386876" w:rsidRPr="0059456E">
        <w:rPr>
          <w:rFonts w:eastAsia="Times New Roman" w:cstheme="minorHAnsi"/>
        </w:rPr>
        <w:t>,</w:t>
      </w:r>
      <w:r w:rsidR="00621A61">
        <w:rPr>
          <w:rFonts w:eastAsia="Times New Roman" w:cstheme="minorHAnsi"/>
        </w:rPr>
        <w:t xml:space="preserve"> such as the</w:t>
      </w:r>
      <w:r w:rsidR="00386876" w:rsidRPr="0059456E">
        <w:rPr>
          <w:rFonts w:eastAsia="Times New Roman" w:cstheme="minorHAnsi"/>
        </w:rPr>
        <w:t xml:space="preserve"> International Literacy Association</w:t>
      </w:r>
      <w:r w:rsidR="00621A61">
        <w:rPr>
          <w:rFonts w:eastAsia="Times New Roman" w:cstheme="minorHAnsi"/>
        </w:rPr>
        <w:t>. This lesson emphasizes the importance of clearly communicating the alignment between assessments and standards to promote transparency and understanding among candidates and evaluators.</w:t>
      </w:r>
      <w:r w:rsidRPr="0059456E">
        <w:rPr>
          <w:rFonts w:eastAsia="Times New Roman" w:cstheme="minorHAnsi"/>
        </w:rPr>
        <w:t xml:space="preserve">  Another major advantage of taking the time to do this on the front-end is that it </w:t>
      </w:r>
      <w:r w:rsidR="00386876" w:rsidRPr="0059456E">
        <w:rPr>
          <w:rFonts w:eastAsia="Times New Roman" w:cstheme="minorHAnsi"/>
        </w:rPr>
        <w:t>should</w:t>
      </w:r>
      <w:r w:rsidRPr="0059456E">
        <w:rPr>
          <w:rFonts w:eastAsia="Times New Roman" w:cstheme="minorHAnsi"/>
        </w:rPr>
        <w:t xml:space="preserve"> help streamline </w:t>
      </w:r>
      <w:r w:rsidR="00386876" w:rsidRPr="0059456E">
        <w:rPr>
          <w:rFonts w:eastAsia="Times New Roman" w:cstheme="minorHAnsi"/>
        </w:rPr>
        <w:t>the</w:t>
      </w:r>
      <w:r w:rsidRPr="0059456E">
        <w:rPr>
          <w:rFonts w:eastAsia="Times New Roman" w:cstheme="minorHAnsi"/>
        </w:rPr>
        <w:t xml:space="preserve"> next accreditation visit.  </w:t>
      </w:r>
      <w:r w:rsidR="00386876" w:rsidRPr="0059456E">
        <w:rPr>
          <w:rFonts w:eastAsia="Times New Roman" w:cstheme="minorHAnsi"/>
        </w:rPr>
        <w:t>B</w:t>
      </w:r>
      <w:r w:rsidRPr="0059456E">
        <w:rPr>
          <w:rFonts w:eastAsia="Times New Roman" w:cstheme="minorHAnsi"/>
        </w:rPr>
        <w:t>e</w:t>
      </w:r>
      <w:r w:rsidR="00386876" w:rsidRPr="0059456E">
        <w:rPr>
          <w:rFonts w:eastAsia="Times New Roman" w:cstheme="minorHAnsi"/>
        </w:rPr>
        <w:t>ing</w:t>
      </w:r>
      <w:r w:rsidRPr="0059456E">
        <w:rPr>
          <w:rFonts w:eastAsia="Times New Roman" w:cstheme="minorHAnsi"/>
        </w:rPr>
        <w:t xml:space="preserve"> able to speak to the association of the assessments with the CAEP standards without having to conduct an intensive search to match them</w:t>
      </w:r>
      <w:r w:rsidR="00386876" w:rsidRPr="0059456E">
        <w:rPr>
          <w:rFonts w:eastAsia="Times New Roman" w:cstheme="minorHAnsi"/>
        </w:rPr>
        <w:t xml:space="preserve"> should make the process smoother</w:t>
      </w:r>
      <w:r w:rsidRPr="0059456E">
        <w:rPr>
          <w:rFonts w:eastAsia="Times New Roman" w:cstheme="minorHAnsi"/>
        </w:rPr>
        <w:t xml:space="preserve">. </w:t>
      </w:r>
    </w:p>
    <w:p w14:paraId="4E2CE894" w14:textId="6BDC6261" w:rsidR="008F3093" w:rsidRDefault="008F3093" w:rsidP="008F3093">
      <w:pPr>
        <w:pStyle w:val="ListParagraph"/>
        <w:numPr>
          <w:ilvl w:val="0"/>
          <w:numId w:val="1"/>
        </w:numPr>
        <w:spacing w:line="360" w:lineRule="auto"/>
        <w:rPr>
          <w:rFonts w:eastAsia="Times New Roman" w:cstheme="minorHAnsi"/>
        </w:rPr>
      </w:pPr>
      <w:r w:rsidRPr="00D37C9D">
        <w:rPr>
          <w:rFonts w:eastAsia="Times New Roman" w:cstheme="minorHAnsi"/>
          <w:b/>
        </w:rPr>
        <w:t>Creat</w:t>
      </w:r>
      <w:r w:rsidR="00386876">
        <w:rPr>
          <w:rFonts w:eastAsia="Times New Roman" w:cstheme="minorHAnsi"/>
          <w:b/>
        </w:rPr>
        <w:t>ing</w:t>
      </w:r>
      <w:r w:rsidRPr="00D37C9D">
        <w:rPr>
          <w:rFonts w:eastAsia="Times New Roman" w:cstheme="minorHAnsi"/>
          <w:b/>
        </w:rPr>
        <w:t xml:space="preserve"> and maintain</w:t>
      </w:r>
      <w:r w:rsidR="00386876">
        <w:rPr>
          <w:rFonts w:eastAsia="Times New Roman" w:cstheme="minorHAnsi"/>
          <w:b/>
        </w:rPr>
        <w:t>ing</w:t>
      </w:r>
      <w:r w:rsidRPr="00D37C9D">
        <w:rPr>
          <w:rFonts w:eastAsia="Times New Roman" w:cstheme="minorHAnsi"/>
          <w:b/>
        </w:rPr>
        <w:t xml:space="preserve"> a database of exemplar assessments. </w:t>
      </w:r>
      <w:r w:rsidRPr="00D37C9D">
        <w:rPr>
          <w:rFonts w:eastAsia="Times New Roman" w:cstheme="minorHAnsi"/>
        </w:rPr>
        <w:t xml:space="preserve">Throughout the process of working on the CAEP </w:t>
      </w:r>
      <w:r w:rsidR="00621A61">
        <w:rPr>
          <w:rFonts w:eastAsia="Times New Roman" w:cstheme="minorHAnsi"/>
        </w:rPr>
        <w:t xml:space="preserve">self-study </w:t>
      </w:r>
      <w:r w:rsidRPr="00D37C9D">
        <w:rPr>
          <w:rFonts w:eastAsia="Times New Roman" w:cstheme="minorHAnsi"/>
        </w:rPr>
        <w:t xml:space="preserve">report, </w:t>
      </w:r>
      <w:r w:rsidR="00386876">
        <w:rPr>
          <w:rFonts w:eastAsia="Times New Roman" w:cstheme="minorHAnsi"/>
        </w:rPr>
        <w:t>my colleague and I</w:t>
      </w:r>
      <w:r w:rsidRPr="00D37C9D">
        <w:rPr>
          <w:rFonts w:eastAsia="Times New Roman" w:cstheme="minorHAnsi"/>
        </w:rPr>
        <w:t xml:space="preserve"> had to support various components, (i.e., assessments) within our program and courses with exemplars,</w:t>
      </w:r>
      <w:r w:rsidR="00621A61">
        <w:rPr>
          <w:rFonts w:eastAsia="Times New Roman" w:cstheme="minorHAnsi"/>
        </w:rPr>
        <w:t xml:space="preserve"> i.e., student work examples that demonstrated the mastery of specific literacy concepts.</w:t>
      </w:r>
      <w:r w:rsidRPr="00D37C9D">
        <w:rPr>
          <w:rFonts w:eastAsia="Times New Roman" w:cstheme="minorHAnsi"/>
        </w:rPr>
        <w:t xml:space="preserve"> </w:t>
      </w:r>
      <w:r w:rsidR="00621A61">
        <w:rPr>
          <w:rFonts w:eastAsia="Times New Roman" w:cstheme="minorHAnsi"/>
        </w:rPr>
        <w:t>O</w:t>
      </w:r>
      <w:r w:rsidRPr="00D37C9D">
        <w:rPr>
          <w:rFonts w:eastAsia="Times New Roman" w:cstheme="minorHAnsi"/>
        </w:rPr>
        <w:t>r, as Newlyn (2013) describes, “past work completed by former students who have undertaken work of a specified quality” (p. 26).  On the surface, this sounds relatively easy.  Unfortunately, this was not the case</w:t>
      </w:r>
      <w:r w:rsidR="00386876">
        <w:rPr>
          <w:rFonts w:eastAsia="Times New Roman" w:cstheme="minorHAnsi"/>
        </w:rPr>
        <w:t xml:space="preserve"> as it became a labor-intensive </w:t>
      </w:r>
      <w:r w:rsidR="00360E9C">
        <w:rPr>
          <w:rFonts w:eastAsia="Times New Roman" w:cstheme="minorHAnsi"/>
        </w:rPr>
        <w:t>task</w:t>
      </w:r>
      <w:r w:rsidR="00386876">
        <w:rPr>
          <w:rFonts w:eastAsia="Times New Roman" w:cstheme="minorHAnsi"/>
        </w:rPr>
        <w:t xml:space="preserve">. </w:t>
      </w:r>
      <w:r w:rsidR="00360E9C">
        <w:rPr>
          <w:rFonts w:eastAsia="Times New Roman" w:cstheme="minorHAnsi"/>
        </w:rPr>
        <w:t>S</w:t>
      </w:r>
      <w:r w:rsidRPr="00D37C9D">
        <w:rPr>
          <w:rFonts w:eastAsia="Times New Roman" w:cstheme="minorHAnsi"/>
        </w:rPr>
        <w:t>earch</w:t>
      </w:r>
      <w:r w:rsidR="00360E9C">
        <w:rPr>
          <w:rFonts w:eastAsia="Times New Roman" w:cstheme="minorHAnsi"/>
        </w:rPr>
        <w:t>ing</w:t>
      </w:r>
      <w:r w:rsidRPr="00D37C9D">
        <w:rPr>
          <w:rFonts w:eastAsia="Times New Roman" w:cstheme="minorHAnsi"/>
        </w:rPr>
        <w:t xml:space="preserve"> through three years of candidates’ work, looking for the perfect examples to showcase knowledge of a particular literacy concept and/or ability to apply it</w:t>
      </w:r>
      <w:r w:rsidR="00360E9C">
        <w:rPr>
          <w:rFonts w:eastAsia="Times New Roman" w:cstheme="minorHAnsi"/>
        </w:rPr>
        <w:t xml:space="preserve">, </w:t>
      </w:r>
      <w:r w:rsidRPr="00D37C9D">
        <w:rPr>
          <w:rFonts w:eastAsia="Times New Roman" w:cstheme="minorHAnsi"/>
        </w:rPr>
        <w:t>took a great deal of time and attention to</w:t>
      </w:r>
      <w:r w:rsidRPr="00D37C9D">
        <w:rPr>
          <w:rFonts w:eastAsia="Times New Roman" w:cstheme="minorHAnsi"/>
          <w:b/>
        </w:rPr>
        <w:t xml:space="preserve"> </w:t>
      </w:r>
      <w:r w:rsidRPr="00D37C9D">
        <w:rPr>
          <w:rFonts w:eastAsia="Times New Roman" w:cstheme="minorHAnsi"/>
        </w:rPr>
        <w:t xml:space="preserve">detail. To prevent this situation from happening again, we designed a </w:t>
      </w:r>
      <w:r w:rsidR="006A25E9">
        <w:rPr>
          <w:rFonts w:eastAsia="Times New Roman" w:cstheme="minorHAnsi"/>
        </w:rPr>
        <w:t>method for</w:t>
      </w:r>
      <w:r w:rsidRPr="00D37C9D">
        <w:rPr>
          <w:rFonts w:eastAsia="Times New Roman" w:cstheme="minorHAnsi"/>
        </w:rPr>
        <w:t xml:space="preserve"> identif</w:t>
      </w:r>
      <w:r w:rsidR="00386876">
        <w:rPr>
          <w:rFonts w:eastAsia="Times New Roman" w:cstheme="minorHAnsi"/>
        </w:rPr>
        <w:t>y</w:t>
      </w:r>
      <w:r w:rsidR="006A25E9">
        <w:rPr>
          <w:rFonts w:eastAsia="Times New Roman" w:cstheme="minorHAnsi"/>
        </w:rPr>
        <w:t>ing</w:t>
      </w:r>
      <w:r w:rsidRPr="00D37C9D">
        <w:rPr>
          <w:rFonts w:eastAsia="Times New Roman" w:cstheme="minorHAnsi"/>
        </w:rPr>
        <w:t>, stor</w:t>
      </w:r>
      <w:r w:rsidR="006A25E9">
        <w:rPr>
          <w:rFonts w:eastAsia="Times New Roman" w:cstheme="minorHAnsi"/>
        </w:rPr>
        <w:t>ing</w:t>
      </w:r>
      <w:r w:rsidRPr="00D37C9D">
        <w:rPr>
          <w:rFonts w:eastAsia="Times New Roman" w:cstheme="minorHAnsi"/>
        </w:rPr>
        <w:t>, and retriev</w:t>
      </w:r>
      <w:r w:rsidR="006A25E9">
        <w:rPr>
          <w:rFonts w:eastAsia="Times New Roman" w:cstheme="minorHAnsi"/>
        </w:rPr>
        <w:t>ing</w:t>
      </w:r>
      <w:r w:rsidR="00386876">
        <w:rPr>
          <w:rFonts w:eastAsia="Times New Roman" w:cstheme="minorHAnsi"/>
        </w:rPr>
        <w:t xml:space="preserve"> </w:t>
      </w:r>
      <w:r w:rsidRPr="00D37C9D">
        <w:rPr>
          <w:rFonts w:eastAsia="Times New Roman" w:cstheme="minorHAnsi"/>
        </w:rPr>
        <w:t xml:space="preserve">student </w:t>
      </w:r>
      <w:r w:rsidRPr="00D37C9D">
        <w:rPr>
          <w:rFonts w:eastAsia="Times New Roman" w:cstheme="minorHAnsi"/>
        </w:rPr>
        <w:lastRenderedPageBreak/>
        <w:t>exemplars</w:t>
      </w:r>
      <w:r w:rsidR="00360E9C">
        <w:rPr>
          <w:rFonts w:eastAsia="Times New Roman" w:cstheme="minorHAnsi"/>
        </w:rPr>
        <w:t xml:space="preserve"> effectively</w:t>
      </w:r>
      <w:r w:rsidRPr="00D37C9D">
        <w:rPr>
          <w:rFonts w:eastAsia="Times New Roman" w:cstheme="minorHAnsi"/>
        </w:rPr>
        <w:t>.</w:t>
      </w:r>
      <w:r w:rsidR="00360E9C">
        <w:rPr>
          <w:rFonts w:eastAsia="Times New Roman" w:cstheme="minorHAnsi"/>
        </w:rPr>
        <w:t xml:space="preserve"> This lesson highlights the need for a systematic approach to curating and organizing exemplar assessments, which can save time and ensure the availability of quality examples for future accreditation purposes.</w:t>
      </w:r>
    </w:p>
    <w:p w14:paraId="63C16D91" w14:textId="77777777" w:rsidR="002F6539" w:rsidRDefault="00360E9C" w:rsidP="00E413A3">
      <w:pPr>
        <w:spacing w:before="240" w:line="360" w:lineRule="auto"/>
        <w:rPr>
          <w:rFonts w:eastAsia="Times New Roman" w:cstheme="minorHAnsi"/>
          <w:sz w:val="24"/>
          <w:szCs w:val="24"/>
        </w:rPr>
      </w:pPr>
      <w:r>
        <w:rPr>
          <w:rFonts w:eastAsia="Times New Roman" w:cstheme="minorHAnsi"/>
          <w:sz w:val="24"/>
          <w:szCs w:val="24"/>
        </w:rPr>
        <w:t>Centering on the application possibility afforded by the action research we conducted, t</w:t>
      </w:r>
      <w:r w:rsidRPr="00360E9C">
        <w:rPr>
          <w:rFonts w:eastAsia="Times New Roman" w:cstheme="minorHAnsi"/>
          <w:sz w:val="24"/>
          <w:szCs w:val="24"/>
        </w:rPr>
        <w:t>hese lessons represent practical insights gained through the self-study report process</w:t>
      </w:r>
      <w:r>
        <w:rPr>
          <w:rFonts w:eastAsia="Times New Roman" w:cstheme="minorHAnsi"/>
          <w:sz w:val="24"/>
          <w:szCs w:val="24"/>
        </w:rPr>
        <w:t xml:space="preserve">. </w:t>
      </w:r>
      <w:r w:rsidR="00E413A3">
        <w:rPr>
          <w:rFonts w:eastAsia="Times New Roman" w:cstheme="minorHAnsi"/>
          <w:sz w:val="24"/>
          <w:szCs w:val="24"/>
        </w:rPr>
        <w:t xml:space="preserve">They </w:t>
      </w:r>
      <w:r w:rsidRPr="00360E9C">
        <w:rPr>
          <w:rFonts w:eastAsia="Times New Roman" w:cstheme="minorHAnsi"/>
          <w:sz w:val="24"/>
          <w:szCs w:val="24"/>
        </w:rPr>
        <w:t>can provide valuable guidance for other educational programs seeking to meet CAEP standards and streamline their accreditation processes.</w:t>
      </w:r>
    </w:p>
    <w:p w14:paraId="131F96C5" w14:textId="4DB99622" w:rsidR="00E413A3" w:rsidRPr="002F6539" w:rsidRDefault="00A84935" w:rsidP="00E413A3">
      <w:pPr>
        <w:spacing w:before="240" w:line="360" w:lineRule="auto"/>
        <w:rPr>
          <w:rFonts w:eastAsia="Times New Roman" w:cstheme="minorHAnsi"/>
          <w:sz w:val="24"/>
          <w:szCs w:val="24"/>
        </w:rPr>
      </w:pPr>
      <w:r>
        <w:rPr>
          <w:rFonts w:eastAsia="Times New Roman" w:cstheme="minorHAnsi"/>
          <w:b/>
          <w:bCs/>
          <w:sz w:val="24"/>
          <w:szCs w:val="24"/>
        </w:rPr>
        <w:t>A More In-Depth Look at Lesson 1</w:t>
      </w:r>
      <w:r w:rsidR="00FE3E62">
        <w:rPr>
          <w:rFonts w:eastAsia="Times New Roman" w:cstheme="minorHAnsi"/>
          <w:b/>
          <w:bCs/>
          <w:sz w:val="24"/>
          <w:szCs w:val="24"/>
        </w:rPr>
        <w:t xml:space="preserve">: </w:t>
      </w:r>
      <w:r w:rsidR="00E413A3" w:rsidRPr="00E413A3">
        <w:rPr>
          <w:rFonts w:eastAsia="Times New Roman" w:cstheme="minorHAnsi"/>
          <w:b/>
          <w:bCs/>
          <w:sz w:val="24"/>
          <w:szCs w:val="24"/>
        </w:rPr>
        <w:t xml:space="preserve">Creating a Chart to Align Program Components with Accreditation Standards </w:t>
      </w:r>
    </w:p>
    <w:p w14:paraId="3F19C8AA" w14:textId="6D35BE36" w:rsidR="00127575" w:rsidRDefault="00DB68B9" w:rsidP="00127575">
      <w:pPr>
        <w:spacing w:before="240" w:line="360" w:lineRule="auto"/>
        <w:rPr>
          <w:rFonts w:eastAsia="Times New Roman" w:cstheme="minorHAnsi"/>
          <w:sz w:val="24"/>
          <w:szCs w:val="24"/>
        </w:rPr>
      </w:pPr>
      <w:r>
        <w:rPr>
          <w:rFonts w:eastAsia="Times New Roman" w:cstheme="minorHAnsi"/>
          <w:sz w:val="24"/>
          <w:szCs w:val="24"/>
        </w:rPr>
        <w:t>A</w:t>
      </w:r>
      <w:r w:rsidR="00127575">
        <w:rPr>
          <w:rFonts w:eastAsia="Times New Roman" w:cstheme="minorHAnsi"/>
          <w:sz w:val="24"/>
          <w:szCs w:val="24"/>
        </w:rPr>
        <w:t xml:space="preserve"> chart</w:t>
      </w:r>
      <w:r>
        <w:rPr>
          <w:rFonts w:eastAsia="Times New Roman" w:cstheme="minorHAnsi"/>
          <w:sz w:val="24"/>
          <w:szCs w:val="24"/>
        </w:rPr>
        <w:t xml:space="preserve"> </w:t>
      </w:r>
      <w:r w:rsidR="002F6539">
        <w:rPr>
          <w:rFonts w:eastAsia="Times New Roman" w:cstheme="minorHAnsi"/>
          <w:sz w:val="24"/>
          <w:szCs w:val="24"/>
        </w:rPr>
        <w:t>is a</w:t>
      </w:r>
      <w:r w:rsidR="004C38D0">
        <w:rPr>
          <w:rFonts w:eastAsia="Times New Roman" w:cstheme="minorHAnsi"/>
          <w:sz w:val="24"/>
          <w:szCs w:val="24"/>
        </w:rPr>
        <w:t>n</w:t>
      </w:r>
      <w:r w:rsidR="002F6539">
        <w:rPr>
          <w:rFonts w:eastAsia="Times New Roman" w:cstheme="minorHAnsi"/>
          <w:sz w:val="24"/>
          <w:szCs w:val="24"/>
        </w:rPr>
        <w:t xml:space="preserve"> </w:t>
      </w:r>
      <w:r w:rsidR="004C38D0">
        <w:rPr>
          <w:rFonts w:eastAsia="Times New Roman" w:cstheme="minorHAnsi"/>
          <w:sz w:val="24"/>
          <w:szCs w:val="24"/>
        </w:rPr>
        <w:t>effective</w:t>
      </w:r>
      <w:r w:rsidR="00127575">
        <w:rPr>
          <w:rFonts w:eastAsia="Times New Roman" w:cstheme="minorHAnsi"/>
          <w:sz w:val="24"/>
          <w:szCs w:val="24"/>
        </w:rPr>
        <w:t xml:space="preserve"> tool for visualizing the connections</w:t>
      </w:r>
      <w:r>
        <w:rPr>
          <w:rFonts w:eastAsia="Times New Roman" w:cstheme="minorHAnsi"/>
          <w:sz w:val="24"/>
          <w:szCs w:val="24"/>
        </w:rPr>
        <w:t xml:space="preserve"> between program components and standards which, ultimately, helps</w:t>
      </w:r>
      <w:r w:rsidR="00127575">
        <w:rPr>
          <w:rFonts w:eastAsia="Times New Roman" w:cstheme="minorHAnsi"/>
          <w:sz w:val="24"/>
          <w:szCs w:val="24"/>
        </w:rPr>
        <w:t xml:space="preserve"> to ensu</w:t>
      </w:r>
      <w:r>
        <w:rPr>
          <w:rFonts w:eastAsia="Times New Roman" w:cstheme="minorHAnsi"/>
          <w:sz w:val="24"/>
          <w:szCs w:val="24"/>
        </w:rPr>
        <w:t>re</w:t>
      </w:r>
      <w:r w:rsidR="00127575">
        <w:rPr>
          <w:rFonts w:eastAsia="Times New Roman" w:cstheme="minorHAnsi"/>
          <w:sz w:val="24"/>
          <w:szCs w:val="24"/>
        </w:rPr>
        <w:t xml:space="preserve"> comprehensive coverage</w:t>
      </w:r>
      <w:r>
        <w:rPr>
          <w:rFonts w:eastAsia="Times New Roman" w:cstheme="minorHAnsi"/>
          <w:sz w:val="24"/>
          <w:szCs w:val="24"/>
        </w:rPr>
        <w:t>.</w:t>
      </w:r>
      <w:r w:rsidR="00127575">
        <w:rPr>
          <w:rFonts w:eastAsia="Times New Roman" w:cstheme="minorHAnsi"/>
          <w:sz w:val="24"/>
          <w:szCs w:val="24"/>
        </w:rPr>
        <w:t xml:space="preserve"> </w:t>
      </w:r>
      <w:r>
        <w:rPr>
          <w:rFonts w:eastAsia="Times New Roman" w:cstheme="minorHAnsi"/>
          <w:sz w:val="24"/>
          <w:szCs w:val="24"/>
        </w:rPr>
        <w:t>A</w:t>
      </w:r>
      <w:r w:rsidR="00127575">
        <w:rPr>
          <w:rFonts w:eastAsia="Times New Roman" w:cstheme="minorHAnsi"/>
          <w:sz w:val="24"/>
          <w:szCs w:val="24"/>
        </w:rPr>
        <w:t>s a beginning point</w:t>
      </w:r>
      <w:r>
        <w:rPr>
          <w:rFonts w:eastAsia="Times New Roman" w:cstheme="minorHAnsi"/>
          <w:sz w:val="24"/>
          <w:szCs w:val="24"/>
        </w:rPr>
        <w:t>,</w:t>
      </w:r>
      <w:r w:rsidR="00127575">
        <w:rPr>
          <w:rFonts w:eastAsia="Times New Roman" w:cstheme="minorHAnsi"/>
          <w:sz w:val="24"/>
          <w:szCs w:val="24"/>
        </w:rPr>
        <w:t xml:space="preserve"> I have outlined a step-by-step process to get you started</w:t>
      </w:r>
      <w:r w:rsidR="00127575">
        <w:rPr>
          <w:rFonts w:eastAsia="Times New Roman" w:cstheme="minorHAnsi"/>
          <w:sz w:val="24"/>
          <w:szCs w:val="24"/>
        </w:rPr>
        <w:t>:</w:t>
      </w:r>
    </w:p>
    <w:p w14:paraId="53705FF9" w14:textId="3F425B81" w:rsidR="00127575" w:rsidRDefault="00127575" w:rsidP="00127575">
      <w:pPr>
        <w:pStyle w:val="ListParagraph"/>
        <w:numPr>
          <w:ilvl w:val="0"/>
          <w:numId w:val="2"/>
        </w:numPr>
        <w:spacing w:before="240" w:line="360" w:lineRule="auto"/>
        <w:rPr>
          <w:rFonts w:eastAsia="Times New Roman" w:cstheme="minorHAnsi"/>
        </w:rPr>
      </w:pPr>
      <w:r>
        <w:rPr>
          <w:rFonts w:eastAsia="Times New Roman" w:cstheme="minorHAnsi"/>
        </w:rPr>
        <w:t>Identify the accreditation standards</w:t>
      </w:r>
      <w:r w:rsidR="002F6539">
        <w:rPr>
          <w:rFonts w:eastAsia="Times New Roman" w:cstheme="minorHAnsi"/>
        </w:rPr>
        <w:t xml:space="preserve"> </w:t>
      </w:r>
      <w:r>
        <w:rPr>
          <w:rFonts w:eastAsia="Times New Roman" w:cstheme="minorHAnsi"/>
        </w:rPr>
        <w:t>that apply to your specific program</w:t>
      </w:r>
      <w:r w:rsidR="004C38D0">
        <w:rPr>
          <w:rFonts w:eastAsia="Times New Roman" w:cstheme="minorHAnsi"/>
        </w:rPr>
        <w:t>, e.g., CAEP Standards for Accreditation at the Advanced Level</w:t>
      </w:r>
      <w:r>
        <w:rPr>
          <w:rFonts w:eastAsia="Times New Roman" w:cstheme="minorHAnsi"/>
        </w:rPr>
        <w:t>. These standards outline the criteria that needs to be met for accreditation.</w:t>
      </w:r>
    </w:p>
    <w:p w14:paraId="3199EB1D" w14:textId="58153E14" w:rsidR="00127575" w:rsidRDefault="00127575" w:rsidP="00127575">
      <w:pPr>
        <w:pStyle w:val="ListParagraph"/>
        <w:numPr>
          <w:ilvl w:val="0"/>
          <w:numId w:val="2"/>
        </w:numPr>
        <w:spacing w:before="240" w:line="360" w:lineRule="auto"/>
        <w:rPr>
          <w:rFonts w:eastAsia="Times New Roman" w:cstheme="minorHAnsi"/>
        </w:rPr>
      </w:pPr>
      <w:r>
        <w:rPr>
          <w:rFonts w:eastAsia="Times New Roman" w:cstheme="minorHAnsi"/>
        </w:rPr>
        <w:t xml:space="preserve">List the standards and their corresponding indicators in a table or spreadsheet (we used Google Sheets because of the real-time collaboration possibility) with columns representing each of the accreditation standards. </w:t>
      </w:r>
    </w:p>
    <w:p w14:paraId="6705D7BE" w14:textId="23D9473A" w:rsidR="00CB6F19" w:rsidRDefault="00CB6F19" w:rsidP="00127575">
      <w:pPr>
        <w:pStyle w:val="ListParagraph"/>
        <w:numPr>
          <w:ilvl w:val="0"/>
          <w:numId w:val="2"/>
        </w:numPr>
        <w:spacing w:before="240" w:line="360" w:lineRule="auto"/>
        <w:rPr>
          <w:rFonts w:eastAsia="Times New Roman" w:cstheme="minorHAnsi"/>
        </w:rPr>
      </w:pPr>
      <w:r>
        <w:rPr>
          <w:rFonts w:eastAsia="Times New Roman" w:cstheme="minorHAnsi"/>
        </w:rPr>
        <w:t>Determine the associated program components that align with the accreditation standards, e.g., courses, assessments, and other relevant aspects. List these in the rows of the chart.</w:t>
      </w:r>
    </w:p>
    <w:p w14:paraId="760229E5" w14:textId="0566A70F" w:rsidR="00CB6F19" w:rsidRDefault="00CB6F19" w:rsidP="00127575">
      <w:pPr>
        <w:pStyle w:val="ListParagraph"/>
        <w:numPr>
          <w:ilvl w:val="0"/>
          <w:numId w:val="2"/>
        </w:numPr>
        <w:spacing w:before="240" w:line="360" w:lineRule="auto"/>
        <w:rPr>
          <w:rFonts w:eastAsia="Times New Roman" w:cstheme="minorHAnsi"/>
        </w:rPr>
      </w:pPr>
      <w:r>
        <w:rPr>
          <w:rFonts w:eastAsia="Times New Roman" w:cstheme="minorHAnsi"/>
        </w:rPr>
        <w:t xml:space="preserve">Establish connections for the program components with the standards listed in the columns, identifying their correlation with the applicable standard by </w:t>
      </w:r>
      <w:r w:rsidR="00DB68B9">
        <w:rPr>
          <w:rFonts w:eastAsia="Times New Roman" w:cstheme="minorHAnsi"/>
        </w:rPr>
        <w:t>indicating</w:t>
      </w:r>
      <w:r>
        <w:rPr>
          <w:rFonts w:eastAsia="Times New Roman" w:cstheme="minorHAnsi"/>
        </w:rPr>
        <w:t xml:space="preserve"> their intersection with a check</w:t>
      </w:r>
      <w:r w:rsidR="00DB68B9">
        <w:rPr>
          <w:rFonts w:eastAsia="Times New Roman" w:cstheme="minorHAnsi"/>
        </w:rPr>
        <w:t>mark</w:t>
      </w:r>
      <w:r>
        <w:rPr>
          <w:rFonts w:eastAsia="Times New Roman" w:cstheme="minorHAnsi"/>
        </w:rPr>
        <w:t>,</w:t>
      </w:r>
      <w:r w:rsidR="00DB68B9">
        <w:rPr>
          <w:rFonts w:eastAsia="Times New Roman" w:cstheme="minorHAnsi"/>
        </w:rPr>
        <w:t xml:space="preserve"> X, color coding, or any other visualization method that works for you.</w:t>
      </w:r>
    </w:p>
    <w:p w14:paraId="461E0DE7" w14:textId="4340E29D" w:rsidR="00DB68B9" w:rsidRDefault="00DB68B9" w:rsidP="00127575">
      <w:pPr>
        <w:pStyle w:val="ListParagraph"/>
        <w:numPr>
          <w:ilvl w:val="0"/>
          <w:numId w:val="2"/>
        </w:numPr>
        <w:spacing w:before="240" w:line="360" w:lineRule="auto"/>
        <w:rPr>
          <w:rFonts w:eastAsia="Times New Roman" w:cstheme="minorHAnsi"/>
        </w:rPr>
      </w:pPr>
      <w:r>
        <w:rPr>
          <w:rFonts w:eastAsia="Times New Roman" w:cstheme="minorHAnsi"/>
        </w:rPr>
        <w:t xml:space="preserve">Include a column that allows you to provide evidence or documentation that supports the alignment between the program components and the standards, e.g., specific assignments, projects, course-based assessments, surveys, and syllabi. Not done initially, I also recommend including a column or row that indicates where the evidence or documentation is stored. Doing so will save you time in the long run. </w:t>
      </w:r>
    </w:p>
    <w:p w14:paraId="594E133C" w14:textId="1A5A29EF" w:rsidR="00DB68B9" w:rsidRPr="00127575" w:rsidRDefault="00DB68B9" w:rsidP="00127575">
      <w:pPr>
        <w:pStyle w:val="ListParagraph"/>
        <w:numPr>
          <w:ilvl w:val="0"/>
          <w:numId w:val="2"/>
        </w:numPr>
        <w:spacing w:before="240" w:line="360" w:lineRule="auto"/>
        <w:rPr>
          <w:rFonts w:eastAsia="Times New Roman" w:cstheme="minorHAnsi"/>
        </w:rPr>
      </w:pPr>
      <w:r>
        <w:rPr>
          <w:rFonts w:eastAsia="Times New Roman" w:cstheme="minorHAnsi"/>
        </w:rPr>
        <w:lastRenderedPageBreak/>
        <w:t xml:space="preserve">Review and update the chart in a </w:t>
      </w:r>
      <w:r w:rsidR="000C041F">
        <w:rPr>
          <w:rFonts w:eastAsia="Times New Roman" w:cstheme="minorHAnsi"/>
        </w:rPr>
        <w:t xml:space="preserve">timely and </w:t>
      </w:r>
      <w:r>
        <w:rPr>
          <w:rFonts w:eastAsia="Times New Roman" w:cstheme="minorHAnsi"/>
        </w:rPr>
        <w:t xml:space="preserve">consistent manner. </w:t>
      </w:r>
      <w:r w:rsidR="000C041F">
        <w:rPr>
          <w:rFonts w:eastAsia="Times New Roman" w:cstheme="minorHAnsi"/>
        </w:rPr>
        <w:t>It should be a dynamic tool that evolves over time, reflecting changes (i.e., modifications or improvements) to your program and/or accreditation guidelines.</w:t>
      </w:r>
    </w:p>
    <w:p w14:paraId="75992B8A" w14:textId="77777777" w:rsidR="00A84935" w:rsidRDefault="000C041F" w:rsidP="00A84935">
      <w:pPr>
        <w:spacing w:before="240" w:after="0" w:line="360" w:lineRule="auto"/>
        <w:rPr>
          <w:sz w:val="24"/>
          <w:szCs w:val="24"/>
        </w:rPr>
      </w:pPr>
      <w:r>
        <w:rPr>
          <w:sz w:val="24"/>
          <w:szCs w:val="24"/>
        </w:rPr>
        <w:t xml:space="preserve">Initially, the chart served as a beginning point for a seemingly overwhelming task. It anchored us and gave us a place to start the accreditation process. In short time, we recognized that its true value was that of a visual aid for organizing and understanding the alignment between the accreditation standards and our program components. Beyond this, it also afforded the opportunity to identify areas of weakness or ones we needed to address more fully. Ultimately, the chart provided a clear overview of how our program met (or, in some cases, did not meet) the required standards. </w:t>
      </w:r>
    </w:p>
    <w:p w14:paraId="0DC7091F" w14:textId="77777777" w:rsidR="00A84935" w:rsidRPr="00CC7E06" w:rsidRDefault="00A84935" w:rsidP="00A84935">
      <w:pPr>
        <w:spacing w:after="0" w:line="360" w:lineRule="auto"/>
        <w:rPr>
          <w:b/>
          <w:bCs/>
          <w:sz w:val="24"/>
          <w:szCs w:val="24"/>
        </w:rPr>
      </w:pPr>
      <w:r w:rsidRPr="00CC7E06">
        <w:rPr>
          <w:b/>
          <w:bCs/>
          <w:sz w:val="24"/>
          <w:szCs w:val="24"/>
        </w:rPr>
        <w:t>Figure 1. Modified Chart Example</w:t>
      </w:r>
    </w:p>
    <w:p w14:paraId="0AA9FACF" w14:textId="7795D937" w:rsidR="00E413A3" w:rsidRPr="00A84935" w:rsidRDefault="00A84935" w:rsidP="00A84935">
      <w:pPr>
        <w:spacing w:line="360" w:lineRule="auto"/>
        <w:rPr>
          <w:sz w:val="24"/>
          <w:szCs w:val="24"/>
        </w:rPr>
      </w:pPr>
      <w:r w:rsidRPr="001C7F9C">
        <w:rPr>
          <w:noProof/>
        </w:rPr>
        <w:drawing>
          <wp:inline distT="0" distB="0" distL="0" distR="0" wp14:anchorId="7DB06A7C" wp14:editId="73F208DC">
            <wp:extent cx="5942669" cy="3801687"/>
            <wp:effectExtent l="0" t="0" r="1270" b="0"/>
            <wp:docPr id="1199623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23882" name=""/>
                    <pic:cNvPicPr/>
                  </pic:nvPicPr>
                  <pic:blipFill>
                    <a:blip r:embed="rId7"/>
                    <a:stretch>
                      <a:fillRect/>
                    </a:stretch>
                  </pic:blipFill>
                  <pic:spPr>
                    <a:xfrm>
                      <a:off x="0" y="0"/>
                      <a:ext cx="5966849" cy="3817155"/>
                    </a:xfrm>
                    <a:prstGeom prst="rect">
                      <a:avLst/>
                    </a:prstGeom>
                  </pic:spPr>
                </pic:pic>
              </a:graphicData>
            </a:graphic>
          </wp:inline>
        </w:drawing>
      </w:r>
      <w:r w:rsidR="000C041F">
        <w:rPr>
          <w:sz w:val="24"/>
          <w:szCs w:val="24"/>
        </w:rPr>
        <w:t xml:space="preserve">  </w:t>
      </w:r>
    </w:p>
    <w:p w14:paraId="2D4F067A" w14:textId="694444A4" w:rsidR="00095637" w:rsidRPr="00E413A3" w:rsidRDefault="00095637" w:rsidP="008F3093">
      <w:pPr>
        <w:rPr>
          <w:b/>
          <w:bCs/>
          <w:sz w:val="24"/>
          <w:szCs w:val="24"/>
        </w:rPr>
      </w:pPr>
      <w:r w:rsidRPr="00E413A3">
        <w:rPr>
          <w:b/>
          <w:bCs/>
          <w:sz w:val="24"/>
          <w:szCs w:val="24"/>
        </w:rPr>
        <w:t>Con</w:t>
      </w:r>
      <w:r w:rsidR="00A84935">
        <w:rPr>
          <w:b/>
          <w:bCs/>
          <w:sz w:val="24"/>
          <w:szCs w:val="24"/>
        </w:rPr>
        <w:t>clusion</w:t>
      </w:r>
    </w:p>
    <w:p w14:paraId="0E95ECAB" w14:textId="4707ACBD" w:rsidR="00A84935" w:rsidRPr="00CC7E06" w:rsidRDefault="00095637" w:rsidP="00CC7E06">
      <w:pPr>
        <w:spacing w:line="360" w:lineRule="auto"/>
        <w:rPr>
          <w:sz w:val="24"/>
          <w:szCs w:val="24"/>
        </w:rPr>
      </w:pPr>
      <w:r w:rsidRPr="00E413A3">
        <w:rPr>
          <w:sz w:val="24"/>
          <w:szCs w:val="24"/>
        </w:rPr>
        <w:t>The pr</w:t>
      </w:r>
      <w:r w:rsidR="00FE3E62">
        <w:rPr>
          <w:sz w:val="24"/>
          <w:szCs w:val="24"/>
        </w:rPr>
        <w:t>esentation</w:t>
      </w:r>
      <w:r w:rsidR="00A84935">
        <w:rPr>
          <w:sz w:val="24"/>
          <w:szCs w:val="24"/>
        </w:rPr>
        <w:t>’s focus</w:t>
      </w:r>
      <w:r w:rsidRPr="00E413A3">
        <w:rPr>
          <w:sz w:val="24"/>
          <w:szCs w:val="24"/>
        </w:rPr>
        <w:t xml:space="preserve"> connect</w:t>
      </w:r>
      <w:r w:rsidR="00FE3E62">
        <w:rPr>
          <w:sz w:val="24"/>
          <w:szCs w:val="24"/>
        </w:rPr>
        <w:t>ed</w:t>
      </w:r>
      <w:r w:rsidRPr="00E413A3">
        <w:rPr>
          <w:sz w:val="24"/>
          <w:szCs w:val="24"/>
        </w:rPr>
        <w:t xml:space="preserve"> to the conference theme in several ways.  First, it</w:t>
      </w:r>
      <w:r w:rsidR="00A84935">
        <w:rPr>
          <w:sz w:val="24"/>
          <w:szCs w:val="24"/>
        </w:rPr>
        <w:t xml:space="preserve"> laid </w:t>
      </w:r>
      <w:r w:rsidRPr="00E413A3">
        <w:rPr>
          <w:sz w:val="24"/>
          <w:szCs w:val="24"/>
        </w:rPr>
        <w:t>the groundwork for innovative and creative ways to meet CAEP standards</w:t>
      </w:r>
      <w:r w:rsidR="00BD3DA0" w:rsidRPr="00E413A3">
        <w:rPr>
          <w:sz w:val="24"/>
          <w:szCs w:val="24"/>
        </w:rPr>
        <w:t xml:space="preserve">, ensuring continued accreditation. Following this, by sharing </w:t>
      </w:r>
      <w:r w:rsidRPr="00E413A3">
        <w:rPr>
          <w:sz w:val="24"/>
          <w:szCs w:val="24"/>
        </w:rPr>
        <w:t>successful strategies for positive change</w:t>
      </w:r>
      <w:r w:rsidR="00BD3DA0" w:rsidRPr="00E413A3">
        <w:rPr>
          <w:sz w:val="24"/>
          <w:szCs w:val="24"/>
        </w:rPr>
        <w:t>, the session</w:t>
      </w:r>
      <w:r w:rsidR="00FE3E62">
        <w:rPr>
          <w:sz w:val="24"/>
          <w:szCs w:val="24"/>
        </w:rPr>
        <w:t>, potentially,</w:t>
      </w:r>
      <w:r w:rsidR="00BD3DA0" w:rsidRPr="00E413A3">
        <w:rPr>
          <w:sz w:val="24"/>
          <w:szCs w:val="24"/>
        </w:rPr>
        <w:t xml:space="preserve"> strengthen</w:t>
      </w:r>
      <w:r w:rsidR="00FE3E62">
        <w:rPr>
          <w:sz w:val="24"/>
          <w:szCs w:val="24"/>
        </w:rPr>
        <w:t>ed</w:t>
      </w:r>
      <w:r w:rsidR="00BD3DA0" w:rsidRPr="00E413A3">
        <w:rPr>
          <w:sz w:val="24"/>
          <w:szCs w:val="24"/>
        </w:rPr>
        <w:t xml:space="preserve"> </w:t>
      </w:r>
      <w:r w:rsidR="00E413A3">
        <w:rPr>
          <w:sz w:val="24"/>
          <w:szCs w:val="24"/>
        </w:rPr>
        <w:t xml:space="preserve">attendees’ </w:t>
      </w:r>
      <w:r w:rsidR="00BD3DA0" w:rsidRPr="00E413A3">
        <w:rPr>
          <w:sz w:val="24"/>
          <w:szCs w:val="24"/>
        </w:rPr>
        <w:t>insight into what it means to be a change agent</w:t>
      </w:r>
      <w:r w:rsidRPr="00E413A3">
        <w:rPr>
          <w:sz w:val="24"/>
          <w:szCs w:val="24"/>
        </w:rPr>
        <w:t>.</w:t>
      </w:r>
      <w:r w:rsidR="00BD3DA0" w:rsidRPr="00E413A3">
        <w:rPr>
          <w:sz w:val="24"/>
          <w:szCs w:val="24"/>
        </w:rPr>
        <w:t xml:space="preserve">  Beyond this, </w:t>
      </w:r>
      <w:r w:rsidR="00E413A3">
        <w:rPr>
          <w:sz w:val="24"/>
          <w:szCs w:val="24"/>
        </w:rPr>
        <w:t xml:space="preserve">it </w:t>
      </w:r>
      <w:r w:rsidR="00E413A3">
        <w:rPr>
          <w:sz w:val="24"/>
          <w:szCs w:val="24"/>
        </w:rPr>
        <w:lastRenderedPageBreak/>
        <w:t>provide</w:t>
      </w:r>
      <w:r w:rsidR="00FE3E62">
        <w:rPr>
          <w:sz w:val="24"/>
          <w:szCs w:val="24"/>
        </w:rPr>
        <w:t>d</w:t>
      </w:r>
      <w:r w:rsidR="00BD3DA0" w:rsidRPr="00E413A3">
        <w:rPr>
          <w:sz w:val="24"/>
          <w:szCs w:val="24"/>
        </w:rPr>
        <w:t xml:space="preserve"> an unobstructed view into the planning process for improving access and success to promote “higher education opportunities and success in completing degrees, certifications, and credentials that lead to a productive career in the workforce of today and the future” (ACHE, 2023 Call for Proposals).   </w:t>
      </w:r>
      <w:r w:rsidRPr="00E413A3">
        <w:rPr>
          <w:sz w:val="24"/>
          <w:szCs w:val="24"/>
        </w:rPr>
        <w:t xml:space="preserve">   </w:t>
      </w:r>
    </w:p>
    <w:p w14:paraId="61C3F630" w14:textId="77777777" w:rsidR="00A84935" w:rsidRDefault="00A84935" w:rsidP="008F3093">
      <w:pPr>
        <w:rPr>
          <w:b/>
          <w:bCs/>
          <w:sz w:val="24"/>
          <w:szCs w:val="24"/>
        </w:rPr>
      </w:pPr>
    </w:p>
    <w:p w14:paraId="0E60E738" w14:textId="28A51FDC" w:rsidR="008F3093" w:rsidRPr="00E413A3" w:rsidRDefault="008F3093" w:rsidP="00A84935">
      <w:pPr>
        <w:spacing w:before="240"/>
        <w:jc w:val="center"/>
        <w:rPr>
          <w:b/>
          <w:bCs/>
          <w:sz w:val="24"/>
          <w:szCs w:val="24"/>
        </w:rPr>
      </w:pPr>
      <w:r w:rsidRPr="00E413A3">
        <w:rPr>
          <w:b/>
          <w:bCs/>
          <w:sz w:val="24"/>
          <w:szCs w:val="24"/>
        </w:rPr>
        <w:t>References</w:t>
      </w:r>
    </w:p>
    <w:p w14:paraId="13CD2280" w14:textId="77777777" w:rsidR="0039669D" w:rsidRDefault="008F3093" w:rsidP="008F3093">
      <w:pPr>
        <w:rPr>
          <w:sz w:val="24"/>
          <w:szCs w:val="24"/>
        </w:rPr>
      </w:pPr>
      <w:r w:rsidRPr="00E413A3">
        <w:rPr>
          <w:sz w:val="24"/>
          <w:szCs w:val="24"/>
        </w:rPr>
        <w:t xml:space="preserve">Council for the Accreditation of Educator Preparation. (2020). </w:t>
      </w:r>
      <w:r w:rsidRPr="00E413A3">
        <w:rPr>
          <w:i/>
          <w:sz w:val="24"/>
          <w:szCs w:val="24"/>
        </w:rPr>
        <w:t>Glossary</w:t>
      </w:r>
      <w:r w:rsidRPr="00E413A3">
        <w:rPr>
          <w:sz w:val="24"/>
          <w:szCs w:val="24"/>
        </w:rPr>
        <w:t>.</w:t>
      </w:r>
    </w:p>
    <w:p w14:paraId="435E2740" w14:textId="6D3D56CC" w:rsidR="008F3093" w:rsidRPr="00E413A3" w:rsidRDefault="0039669D" w:rsidP="0039669D">
      <w:pPr>
        <w:ind w:firstLine="720"/>
        <w:rPr>
          <w:sz w:val="24"/>
          <w:szCs w:val="24"/>
        </w:rPr>
      </w:pPr>
      <w:hyperlink r:id="rId8" w:history="1">
        <w:r w:rsidRPr="00AC0F54">
          <w:rPr>
            <w:rStyle w:val="Hyperlink"/>
            <w:sz w:val="24"/>
            <w:szCs w:val="24"/>
          </w:rPr>
          <w:t>http://caepnet.org/glossary?letter=C</w:t>
        </w:r>
      </w:hyperlink>
    </w:p>
    <w:p w14:paraId="0E14A17D" w14:textId="77777777" w:rsidR="008F3093" w:rsidRPr="00E413A3" w:rsidRDefault="008F3093" w:rsidP="008F3093">
      <w:pPr>
        <w:rPr>
          <w:sz w:val="24"/>
          <w:szCs w:val="24"/>
        </w:rPr>
      </w:pPr>
      <w:r w:rsidRPr="00E413A3">
        <w:rPr>
          <w:sz w:val="24"/>
          <w:szCs w:val="24"/>
        </w:rPr>
        <w:t xml:space="preserve">Newlyn, D. (2013). Providing exemplars in the learning environment: The case for and against. </w:t>
      </w:r>
    </w:p>
    <w:p w14:paraId="4883E6B7" w14:textId="77777777" w:rsidR="008F3093" w:rsidRPr="00E413A3" w:rsidRDefault="008F3093" w:rsidP="008F3093">
      <w:pPr>
        <w:rPr>
          <w:sz w:val="24"/>
          <w:szCs w:val="24"/>
        </w:rPr>
      </w:pPr>
      <w:r w:rsidRPr="00E413A3">
        <w:rPr>
          <w:sz w:val="24"/>
          <w:szCs w:val="24"/>
        </w:rPr>
        <w:tab/>
      </w:r>
      <w:r w:rsidRPr="0039669D">
        <w:rPr>
          <w:i/>
          <w:iCs/>
          <w:sz w:val="24"/>
          <w:szCs w:val="24"/>
        </w:rPr>
        <w:t>Universal Journal of Education and Research, 1</w:t>
      </w:r>
      <w:r w:rsidRPr="00E413A3">
        <w:rPr>
          <w:sz w:val="24"/>
          <w:szCs w:val="24"/>
        </w:rPr>
        <w:t>(1), 26-32.</w:t>
      </w:r>
    </w:p>
    <w:p w14:paraId="37DE2D3C" w14:textId="77777777" w:rsidR="008F3093" w:rsidRPr="00E413A3" w:rsidRDefault="008F3093">
      <w:pPr>
        <w:rPr>
          <w:sz w:val="24"/>
          <w:szCs w:val="24"/>
        </w:rPr>
      </w:pPr>
    </w:p>
    <w:p w14:paraId="154EB579" w14:textId="77777777" w:rsidR="00E413A3" w:rsidRPr="00E413A3" w:rsidRDefault="00E413A3">
      <w:pPr>
        <w:rPr>
          <w:sz w:val="24"/>
          <w:szCs w:val="24"/>
        </w:rPr>
      </w:pPr>
    </w:p>
    <w:sectPr w:rsidR="00E413A3" w:rsidRPr="00E413A3" w:rsidSect="002C1BF1">
      <w:headerReference w:type="default" r:id="rId9"/>
      <w:footerReference w:type="even" r:id="rId10"/>
      <w:footerReference w:type="default" r:id="rId11"/>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F06A" w14:textId="77777777" w:rsidR="009417DD" w:rsidRDefault="009417DD" w:rsidP="00361AF7">
      <w:pPr>
        <w:spacing w:after="0" w:line="240" w:lineRule="auto"/>
      </w:pPr>
      <w:r>
        <w:separator/>
      </w:r>
    </w:p>
  </w:endnote>
  <w:endnote w:type="continuationSeparator" w:id="0">
    <w:p w14:paraId="45CACD3E" w14:textId="77777777" w:rsidR="009417DD" w:rsidRDefault="009417DD" w:rsidP="00361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0325193"/>
      <w:docPartObj>
        <w:docPartGallery w:val="Page Numbers (Bottom of Page)"/>
        <w:docPartUnique/>
      </w:docPartObj>
    </w:sdtPr>
    <w:sdtContent>
      <w:p w14:paraId="6BDE9B3A" w14:textId="56B23D60" w:rsidR="003E5411" w:rsidRDefault="003E5411" w:rsidP="008844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2378D1" w14:textId="77777777" w:rsidR="003E5411" w:rsidRDefault="003E5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3129358"/>
      <w:docPartObj>
        <w:docPartGallery w:val="Page Numbers (Bottom of Page)"/>
        <w:docPartUnique/>
      </w:docPartObj>
    </w:sdtPr>
    <w:sdtContent>
      <w:p w14:paraId="2C97BA08" w14:textId="22E98261" w:rsidR="003E5411" w:rsidRDefault="003E5411" w:rsidP="008844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DFB10A" w14:textId="77777777" w:rsidR="003E5411" w:rsidRDefault="003E5411">
    <w:pPr>
      <w:pStyle w:val="Footer"/>
    </w:pPr>
  </w:p>
  <w:p w14:paraId="68F63048" w14:textId="77777777" w:rsidR="00A84935" w:rsidRDefault="00A84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B1C6" w14:textId="77777777" w:rsidR="009417DD" w:rsidRDefault="009417DD" w:rsidP="00361AF7">
      <w:pPr>
        <w:spacing w:after="0" w:line="240" w:lineRule="auto"/>
      </w:pPr>
      <w:r>
        <w:separator/>
      </w:r>
    </w:p>
  </w:footnote>
  <w:footnote w:type="continuationSeparator" w:id="0">
    <w:p w14:paraId="664C2C19" w14:textId="77777777" w:rsidR="009417DD" w:rsidRDefault="009417DD" w:rsidP="00361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3BEA" w14:textId="2247830B" w:rsidR="00361AF7" w:rsidRDefault="00000000">
    <w:pPr>
      <w:pStyle w:val="Header"/>
      <w:tabs>
        <w:tab w:val="clear" w:pos="4680"/>
        <w:tab w:val="clear" w:pos="9360"/>
      </w:tabs>
      <w:jc w:val="right"/>
      <w:rPr>
        <w:color w:val="4472C4" w:themeColor="accent1"/>
      </w:rPr>
    </w:pPr>
    <w:sdt>
      <w:sdtPr>
        <w:rPr>
          <w:color w:val="4472C4" w:themeColor="accent1"/>
        </w:rPr>
        <w:alias w:val="Title"/>
        <w:tag w:val=""/>
        <w:id w:val="664756013"/>
        <w:placeholder>
          <w:docPart w:val="110C8BAC1B999C48A34FA8022A064326"/>
        </w:placeholder>
        <w:dataBinding w:prefixMappings="xmlns:ns0='http://purl.org/dc/elements/1.1/' xmlns:ns1='http://schemas.openxmlformats.org/package/2006/metadata/core-properties' " w:xpath="/ns1:coreProperties[1]/ns0:title[1]" w:storeItemID="{6C3C8BC8-F283-45AE-878A-BAB7291924A1}"/>
        <w:text/>
      </w:sdtPr>
      <w:sdtContent>
        <w:r w:rsidR="00361AF7">
          <w:rPr>
            <w:color w:val="4472C4" w:themeColor="accent1"/>
          </w:rPr>
          <w:t>Humanizing the CAEP Accreditation Process</w:t>
        </w:r>
      </w:sdtContent>
    </w:sdt>
    <w:r w:rsidR="00361AF7">
      <w:rPr>
        <w:color w:val="4472C4" w:themeColor="accent1"/>
      </w:rPr>
      <w:t xml:space="preserve"> | </w:t>
    </w:r>
    <w:sdt>
      <w:sdtPr>
        <w:rPr>
          <w:color w:val="4472C4" w:themeColor="accent1"/>
        </w:rPr>
        <w:alias w:val="Author"/>
        <w:tag w:val=""/>
        <w:id w:val="-1677181147"/>
        <w:placeholder>
          <w:docPart w:val="2F64A4227F28AD44AD9342E0ACAC039A"/>
        </w:placeholder>
        <w:dataBinding w:prefixMappings="xmlns:ns0='http://purl.org/dc/elements/1.1/' xmlns:ns1='http://schemas.openxmlformats.org/package/2006/metadata/core-properties' " w:xpath="/ns1:coreProperties[1]/ns0:creator[1]" w:storeItemID="{6C3C8BC8-F283-45AE-878A-BAB7291924A1}"/>
        <w:text/>
      </w:sdtPr>
      <w:sdtContent>
        <w:r w:rsidR="00361AF7">
          <w:rPr>
            <w:color w:val="4472C4" w:themeColor="accent1"/>
          </w:rPr>
          <w:t>Comer</w:t>
        </w:r>
      </w:sdtContent>
    </w:sdt>
  </w:p>
  <w:p w14:paraId="57F72B20" w14:textId="77777777" w:rsidR="00361AF7" w:rsidRDefault="00361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A1104"/>
    <w:multiLevelType w:val="hybridMultilevel"/>
    <w:tmpl w:val="7E527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2246B"/>
    <w:multiLevelType w:val="hybridMultilevel"/>
    <w:tmpl w:val="C1B26C6C"/>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6A2D0648"/>
    <w:multiLevelType w:val="hybridMultilevel"/>
    <w:tmpl w:val="2FB49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094748">
    <w:abstractNumId w:val="0"/>
  </w:num>
  <w:num w:numId="2" w16cid:durableId="327248692">
    <w:abstractNumId w:val="2"/>
  </w:num>
  <w:num w:numId="3" w16cid:durableId="87203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D9"/>
    <w:rsid w:val="00095637"/>
    <w:rsid w:val="000C041F"/>
    <w:rsid w:val="00127575"/>
    <w:rsid w:val="001C2E40"/>
    <w:rsid w:val="001F7609"/>
    <w:rsid w:val="0020413F"/>
    <w:rsid w:val="00227BB7"/>
    <w:rsid w:val="002C1BF1"/>
    <w:rsid w:val="002F6539"/>
    <w:rsid w:val="003070B7"/>
    <w:rsid w:val="00360E9C"/>
    <w:rsid w:val="00361AF7"/>
    <w:rsid w:val="0037202A"/>
    <w:rsid w:val="00386876"/>
    <w:rsid w:val="0039669D"/>
    <w:rsid w:val="003C7308"/>
    <w:rsid w:val="003E5411"/>
    <w:rsid w:val="0048601D"/>
    <w:rsid w:val="004A6765"/>
    <w:rsid w:val="004C38D0"/>
    <w:rsid w:val="0059456E"/>
    <w:rsid w:val="005E1A7E"/>
    <w:rsid w:val="00621A61"/>
    <w:rsid w:val="006677F2"/>
    <w:rsid w:val="006A25E9"/>
    <w:rsid w:val="006D7AC3"/>
    <w:rsid w:val="008B274E"/>
    <w:rsid w:val="008B42D9"/>
    <w:rsid w:val="008D18A2"/>
    <w:rsid w:val="008D6239"/>
    <w:rsid w:val="008F3093"/>
    <w:rsid w:val="009417DD"/>
    <w:rsid w:val="00963A8B"/>
    <w:rsid w:val="00A1076B"/>
    <w:rsid w:val="00A84935"/>
    <w:rsid w:val="00B81FBC"/>
    <w:rsid w:val="00BD3DA0"/>
    <w:rsid w:val="00BE5323"/>
    <w:rsid w:val="00CB6F19"/>
    <w:rsid w:val="00CC7E06"/>
    <w:rsid w:val="00D30F81"/>
    <w:rsid w:val="00D55F29"/>
    <w:rsid w:val="00D97A8F"/>
    <w:rsid w:val="00DB68B9"/>
    <w:rsid w:val="00E413A3"/>
    <w:rsid w:val="00EB7043"/>
    <w:rsid w:val="00EC104A"/>
    <w:rsid w:val="00FE3E62"/>
    <w:rsid w:val="00FF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EDE9"/>
  <w15:chartTrackingRefBased/>
  <w15:docId w15:val="{D1E3A889-63F9-45D4-9118-D31F0B65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2D9"/>
    <w:rPr>
      <w:color w:val="0563C1" w:themeColor="hyperlink"/>
      <w:u w:val="single"/>
    </w:rPr>
  </w:style>
  <w:style w:type="character" w:styleId="UnresolvedMention">
    <w:name w:val="Unresolved Mention"/>
    <w:basedOn w:val="DefaultParagraphFont"/>
    <w:uiPriority w:val="99"/>
    <w:semiHidden/>
    <w:unhideWhenUsed/>
    <w:rsid w:val="008B42D9"/>
    <w:rPr>
      <w:color w:val="605E5C"/>
      <w:shd w:val="clear" w:color="auto" w:fill="E1DFDD"/>
    </w:rPr>
  </w:style>
  <w:style w:type="paragraph" w:styleId="ListParagraph">
    <w:name w:val="List Paragraph"/>
    <w:basedOn w:val="Normal"/>
    <w:uiPriority w:val="34"/>
    <w:qFormat/>
    <w:rsid w:val="008F3093"/>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8F3093"/>
    <w:rPr>
      <w:sz w:val="16"/>
      <w:szCs w:val="16"/>
    </w:rPr>
  </w:style>
  <w:style w:type="paragraph" w:styleId="CommentText">
    <w:name w:val="annotation text"/>
    <w:basedOn w:val="Normal"/>
    <w:link w:val="CommentTextChar"/>
    <w:uiPriority w:val="99"/>
    <w:unhideWhenUsed/>
    <w:rsid w:val="008F3093"/>
    <w:pPr>
      <w:spacing w:line="240" w:lineRule="auto"/>
    </w:pPr>
    <w:rPr>
      <w:sz w:val="20"/>
      <w:szCs w:val="20"/>
    </w:rPr>
  </w:style>
  <w:style w:type="character" w:customStyle="1" w:styleId="CommentTextChar">
    <w:name w:val="Comment Text Char"/>
    <w:basedOn w:val="DefaultParagraphFont"/>
    <w:link w:val="CommentText"/>
    <w:uiPriority w:val="99"/>
    <w:rsid w:val="008F3093"/>
    <w:rPr>
      <w:sz w:val="20"/>
      <w:szCs w:val="20"/>
    </w:rPr>
  </w:style>
  <w:style w:type="paragraph" w:styleId="CommentSubject">
    <w:name w:val="annotation subject"/>
    <w:basedOn w:val="CommentText"/>
    <w:next w:val="CommentText"/>
    <w:link w:val="CommentSubjectChar"/>
    <w:uiPriority w:val="99"/>
    <w:semiHidden/>
    <w:unhideWhenUsed/>
    <w:rsid w:val="008F3093"/>
    <w:rPr>
      <w:b/>
      <w:bCs/>
    </w:rPr>
  </w:style>
  <w:style w:type="character" w:customStyle="1" w:styleId="CommentSubjectChar">
    <w:name w:val="Comment Subject Char"/>
    <w:basedOn w:val="CommentTextChar"/>
    <w:link w:val="CommentSubject"/>
    <w:uiPriority w:val="99"/>
    <w:semiHidden/>
    <w:rsid w:val="008F3093"/>
    <w:rPr>
      <w:b/>
      <w:bCs/>
      <w:sz w:val="20"/>
      <w:szCs w:val="20"/>
    </w:rPr>
  </w:style>
  <w:style w:type="paragraph" w:styleId="Header">
    <w:name w:val="header"/>
    <w:basedOn w:val="Normal"/>
    <w:link w:val="HeaderChar"/>
    <w:uiPriority w:val="99"/>
    <w:unhideWhenUsed/>
    <w:rsid w:val="00361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AF7"/>
  </w:style>
  <w:style w:type="paragraph" w:styleId="Footer">
    <w:name w:val="footer"/>
    <w:basedOn w:val="Normal"/>
    <w:link w:val="FooterChar"/>
    <w:uiPriority w:val="99"/>
    <w:unhideWhenUsed/>
    <w:rsid w:val="00361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AF7"/>
  </w:style>
  <w:style w:type="character" w:styleId="PageNumber">
    <w:name w:val="page number"/>
    <w:basedOn w:val="DefaultParagraphFont"/>
    <w:uiPriority w:val="99"/>
    <w:semiHidden/>
    <w:unhideWhenUsed/>
    <w:rsid w:val="003E5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epnet.org/glossary?letter=C"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0C8BAC1B999C48A34FA8022A064326"/>
        <w:category>
          <w:name w:val="General"/>
          <w:gallery w:val="placeholder"/>
        </w:category>
        <w:types>
          <w:type w:val="bbPlcHdr"/>
        </w:types>
        <w:behaviors>
          <w:behavior w:val="content"/>
        </w:behaviors>
        <w:guid w:val="{FDB6EC49-08E5-8448-AC94-5638D5D5BC56}"/>
      </w:docPartPr>
      <w:docPartBody>
        <w:p w:rsidR="00DE339E" w:rsidRDefault="00AE4223" w:rsidP="00AE4223">
          <w:pPr>
            <w:pStyle w:val="110C8BAC1B999C48A34FA8022A064326"/>
          </w:pPr>
          <w:r>
            <w:rPr>
              <w:color w:val="4472C4" w:themeColor="accent1"/>
            </w:rPr>
            <w:t>[Document title]</w:t>
          </w:r>
        </w:p>
      </w:docPartBody>
    </w:docPart>
    <w:docPart>
      <w:docPartPr>
        <w:name w:val="2F64A4227F28AD44AD9342E0ACAC039A"/>
        <w:category>
          <w:name w:val="General"/>
          <w:gallery w:val="placeholder"/>
        </w:category>
        <w:types>
          <w:type w:val="bbPlcHdr"/>
        </w:types>
        <w:behaviors>
          <w:behavior w:val="content"/>
        </w:behaviors>
        <w:guid w:val="{D8F70FDA-B87C-1848-B9C6-08EF8A262D29}"/>
      </w:docPartPr>
      <w:docPartBody>
        <w:p w:rsidR="00DE339E" w:rsidRDefault="00AE4223" w:rsidP="00AE4223">
          <w:pPr>
            <w:pStyle w:val="2F64A4227F28AD44AD9342E0ACAC039A"/>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23"/>
    <w:rsid w:val="0030348A"/>
    <w:rsid w:val="00AE4223"/>
    <w:rsid w:val="00DE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0C8BAC1B999C48A34FA8022A064326">
    <w:name w:val="110C8BAC1B999C48A34FA8022A064326"/>
    <w:rsid w:val="00AE4223"/>
  </w:style>
  <w:style w:type="paragraph" w:customStyle="1" w:styleId="2F64A4227F28AD44AD9342E0ACAC039A">
    <w:name w:val="2F64A4227F28AD44AD9342E0ACAC039A"/>
    <w:rsid w:val="00AE4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Humanizing the CAEP Accreditation Process</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Humanizing the CAEP Accreditation Process</dc:title>
  <dc:subject/>
  <dc:creator>Comer</dc:creator>
  <cp:keywords/>
  <dc:description/>
  <cp:lastModifiedBy>Melissa Comer</cp:lastModifiedBy>
  <cp:revision>2</cp:revision>
  <dcterms:created xsi:type="dcterms:W3CDTF">2023-10-23T17:08:00Z</dcterms:created>
  <dcterms:modified xsi:type="dcterms:W3CDTF">2023-10-23T17:08:00Z</dcterms:modified>
</cp:coreProperties>
</file>