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BD" w:rsidRDefault="00691597" w:rsidP="00D17C68">
      <w:pPr>
        <w:jc w:val="center"/>
        <w:rPr>
          <w:sz w:val="20"/>
          <w:szCs w:val="20"/>
        </w:rPr>
      </w:pPr>
      <w:r>
        <w:rPr>
          <w:sz w:val="40"/>
          <w:szCs w:val="40"/>
        </w:rPr>
        <w:t>Risk and Uncertainty in Style</w:t>
      </w:r>
      <w:r w:rsidR="00D224E2">
        <w:rPr>
          <w:sz w:val="40"/>
          <w:szCs w:val="40"/>
        </w:rPr>
        <w:t xml:space="preserve"> Rotation</w:t>
      </w:r>
    </w:p>
    <w:p w:rsidR="00C54DBD" w:rsidRDefault="00C54DBD" w:rsidP="00D17C68">
      <w:pPr>
        <w:jc w:val="center"/>
        <w:rPr>
          <w:sz w:val="20"/>
          <w:szCs w:val="20"/>
        </w:rPr>
      </w:pPr>
    </w:p>
    <w:p w:rsidR="00B40D79" w:rsidRDefault="00B40D79" w:rsidP="00D17C68">
      <w:pPr>
        <w:jc w:val="center"/>
        <w:rPr>
          <w:rStyle w:val="FootnoteReference"/>
          <w:smallCaps/>
        </w:rPr>
      </w:pPr>
      <w:r w:rsidRPr="00EE0D63">
        <w:rPr>
          <w:smallCaps/>
        </w:rPr>
        <w:t xml:space="preserve">Timothy </w:t>
      </w:r>
      <w:r w:rsidR="00C666E2">
        <w:rPr>
          <w:smallCaps/>
        </w:rPr>
        <w:t xml:space="preserve">A. </w:t>
      </w:r>
      <w:r w:rsidRPr="00EE0D63">
        <w:rPr>
          <w:smallCaps/>
        </w:rPr>
        <w:t>Krause</w:t>
      </w:r>
      <w:r>
        <w:rPr>
          <w:rStyle w:val="FootnoteReference"/>
          <w:smallCaps/>
        </w:rPr>
        <w:footnoteReference w:customMarkFollows="1" w:id="1"/>
        <w:t>*</w:t>
      </w:r>
    </w:p>
    <w:p w:rsidR="00B40D79" w:rsidRDefault="00B40D79" w:rsidP="00D17C68">
      <w:pPr>
        <w:jc w:val="center"/>
      </w:pPr>
    </w:p>
    <w:p w:rsidR="00B40D79" w:rsidRDefault="003163F6" w:rsidP="00D17C68">
      <w:pPr>
        <w:jc w:val="center"/>
      </w:pPr>
      <w:r>
        <w:t xml:space="preserve">June </w:t>
      </w:r>
      <w:r w:rsidR="00A82EF9">
        <w:t>2</w:t>
      </w:r>
      <w:r>
        <w:t>5</w:t>
      </w:r>
      <w:r w:rsidR="00B40D79">
        <w:t>, 2015</w:t>
      </w:r>
    </w:p>
    <w:p w:rsidR="00306823" w:rsidRDefault="00306823" w:rsidP="00D17C68">
      <w:pPr>
        <w:jc w:val="center"/>
      </w:pPr>
    </w:p>
    <w:p w:rsidR="00306823" w:rsidRDefault="00306823" w:rsidP="00D17C68">
      <w:pPr>
        <w:jc w:val="center"/>
      </w:pPr>
    </w:p>
    <w:p w:rsidR="00306823" w:rsidRDefault="00306823" w:rsidP="00D17C68"/>
    <w:p w:rsidR="00C54DBD" w:rsidRDefault="00C54DBD" w:rsidP="00D17C68"/>
    <w:p w:rsidR="00B40D79" w:rsidRDefault="00B40D79" w:rsidP="00D17C68">
      <w:r>
        <w:t xml:space="preserve">JEL Classification:  G1, C1, C5 </w:t>
      </w:r>
    </w:p>
    <w:p w:rsidR="00B40D79" w:rsidRDefault="00B40D79" w:rsidP="00D17C68"/>
    <w:p w:rsidR="00CC1C4D" w:rsidRDefault="00B40D79" w:rsidP="00D17C68">
      <w:r>
        <w:t xml:space="preserve">Keywords:  </w:t>
      </w:r>
      <w:r w:rsidR="001B25F9">
        <w:t xml:space="preserve">VIX, VVIX, volatility, </w:t>
      </w:r>
      <w:r w:rsidR="00912F99">
        <w:t xml:space="preserve">ambiguity, </w:t>
      </w:r>
      <w:r w:rsidR="00306823">
        <w:t>value vs. growth</w:t>
      </w:r>
      <w:r w:rsidR="00B94D5D">
        <w:t>, style</w:t>
      </w:r>
      <w:bookmarkStart w:id="0" w:name="_GoBack"/>
      <w:bookmarkEnd w:id="0"/>
      <w:r w:rsidR="00B94D5D">
        <w:t xml:space="preserve"> returns</w:t>
      </w:r>
    </w:p>
    <w:p w:rsidR="00FB4940" w:rsidRDefault="00FB4940" w:rsidP="00D17C68">
      <w:pPr>
        <w:sectPr w:rsidR="00FB4940" w:rsidSect="00231E3B">
          <w:footerReference w:type="default" r:id="rId9"/>
          <w:footerReference w:type="first" r:id="rId10"/>
          <w:pgSz w:w="12240" w:h="15840" w:code="1"/>
          <w:pgMar w:top="1440" w:right="1440" w:bottom="1440" w:left="1440" w:header="0" w:footer="720" w:gutter="0"/>
          <w:pgNumType w:start="1"/>
          <w:cols w:space="720"/>
          <w:docGrid w:linePitch="360"/>
        </w:sectPr>
      </w:pPr>
    </w:p>
    <w:p w:rsidR="00306823" w:rsidRDefault="00306823" w:rsidP="00B1140E">
      <w:pPr>
        <w:jc w:val="center"/>
        <w:rPr>
          <w:sz w:val="20"/>
          <w:szCs w:val="20"/>
        </w:rPr>
      </w:pPr>
      <w:r>
        <w:rPr>
          <w:b/>
        </w:rPr>
        <w:lastRenderedPageBreak/>
        <w:br w:type="page"/>
      </w:r>
      <w:r>
        <w:rPr>
          <w:sz w:val="40"/>
          <w:szCs w:val="40"/>
        </w:rPr>
        <w:lastRenderedPageBreak/>
        <w:t>Risk and Uncertainty in Style Rotation</w:t>
      </w:r>
    </w:p>
    <w:p w:rsidR="00306823" w:rsidRDefault="00306823" w:rsidP="00D17C68">
      <w:pPr>
        <w:rPr>
          <w:b/>
        </w:rPr>
      </w:pPr>
    </w:p>
    <w:p w:rsidR="00306823" w:rsidRDefault="00306823" w:rsidP="00D17C68">
      <w:pPr>
        <w:rPr>
          <w:b/>
        </w:rPr>
      </w:pPr>
    </w:p>
    <w:p w:rsidR="00306823" w:rsidRDefault="00306823" w:rsidP="00D17C68">
      <w:pPr>
        <w:rPr>
          <w:b/>
        </w:rPr>
      </w:pPr>
      <w:r>
        <w:rPr>
          <w:b/>
        </w:rPr>
        <w:t>Abstract</w:t>
      </w:r>
    </w:p>
    <w:p w:rsidR="00306823" w:rsidRDefault="00306823" w:rsidP="00D17C68">
      <w:pPr>
        <w:rPr>
          <w:b/>
        </w:rPr>
      </w:pPr>
      <w:r>
        <w:rPr>
          <w:b/>
        </w:rPr>
        <w:tab/>
      </w:r>
    </w:p>
    <w:p w:rsidR="00306823" w:rsidRDefault="00306823" w:rsidP="00D17C68">
      <w:r>
        <w:rPr>
          <w:b/>
        </w:rPr>
        <w:tab/>
      </w:r>
      <w:r w:rsidR="000C40A7" w:rsidRPr="000C40A7">
        <w:t>This article examines the effectiveness of the VIX index as a leading indicator of style returns</w:t>
      </w:r>
      <w:r w:rsidR="00980FF5">
        <w:t>.  The study</w:t>
      </w:r>
      <w:r w:rsidR="000C40A7">
        <w:t xml:space="preserve"> </w:t>
      </w:r>
      <w:r w:rsidR="00980FF5">
        <w:t xml:space="preserve">also </w:t>
      </w:r>
      <w:r w:rsidR="000C40A7" w:rsidRPr="000C40A7">
        <w:t>introduce</w:t>
      </w:r>
      <w:r w:rsidR="000C40A7">
        <w:t>s</w:t>
      </w:r>
      <w:r w:rsidR="000C40A7" w:rsidRPr="000C40A7">
        <w:t xml:space="preserve"> the concept of ambiguity (uncertainty) as an indicator of returns to value</w:t>
      </w:r>
      <w:r w:rsidR="000C40A7">
        <w:t>,</w:t>
      </w:r>
      <w:r w:rsidR="000C40A7" w:rsidRPr="000C40A7">
        <w:t xml:space="preserve"> as measured by the CBOE “volatility of volatility” (VVIX) index.  We analyze returns from highly liquid ETFs to demonstrate that strategies based solely on the VIX index experience positive returns to value only for holding periods greater than twenty days</w:t>
      </w:r>
      <w:r w:rsidR="009C5ADF">
        <w:t>.</w:t>
      </w:r>
      <w:r w:rsidR="00B94D5D">
        <w:t xml:space="preserve">  </w:t>
      </w:r>
      <w:r w:rsidR="005C3C56">
        <w:t xml:space="preserve">However, </w:t>
      </w:r>
      <w:r w:rsidR="009B3BC1">
        <w:t>when our</w:t>
      </w:r>
      <w:r w:rsidR="007B20BF">
        <w:t xml:space="preserve"> proxy for ambiguity is </w:t>
      </w:r>
      <w:r w:rsidR="00B94D5D">
        <w:t>included in the analysis</w:t>
      </w:r>
      <w:r w:rsidR="007B20BF">
        <w:t xml:space="preserve">, </w:t>
      </w:r>
      <w:r>
        <w:t>a short-term significant negative return to value</w:t>
      </w:r>
      <w:r w:rsidR="00B94D5D">
        <w:t xml:space="preserve"> from the VIX index</w:t>
      </w:r>
      <w:r w:rsidR="009C5ADF">
        <w:t xml:space="preserve"> is present </w:t>
      </w:r>
      <w:r>
        <w:t xml:space="preserve">that switches </w:t>
      </w:r>
      <w:r w:rsidR="007B20BF">
        <w:t>to a positive influence at</w:t>
      </w:r>
      <w:r>
        <w:t xml:space="preserve"> </w:t>
      </w:r>
      <w:r w:rsidR="009C5ADF">
        <w:t xml:space="preserve">the </w:t>
      </w:r>
      <w:r>
        <w:t>twenty day</w:t>
      </w:r>
      <w:r w:rsidR="009C5ADF">
        <w:t xml:space="preserve"> return horizon</w:t>
      </w:r>
      <w:r w:rsidR="000C40A7">
        <w:t>.</w:t>
      </w:r>
      <w:r>
        <w:t xml:space="preserve">  </w:t>
      </w:r>
      <w:r w:rsidR="009C5ADF">
        <w:t xml:space="preserve">We </w:t>
      </w:r>
      <w:r>
        <w:t>show that short-term uncertainty leads to positive short-term returns to value</w:t>
      </w:r>
      <w:r w:rsidR="005C3C56">
        <w:t xml:space="preserve">, but as </w:t>
      </w:r>
      <w:r>
        <w:t xml:space="preserve">this uncertainty is resolved in the marketplace, its effect becomes negative and </w:t>
      </w:r>
      <w:r w:rsidR="000C40A7">
        <w:t>volatility (</w:t>
      </w:r>
      <w:r>
        <w:t>risk</w:t>
      </w:r>
      <w:r w:rsidR="000C40A7">
        <w:t>)</w:t>
      </w:r>
      <w:r>
        <w:t xml:space="preserve"> becomes the main driver of returns</w:t>
      </w:r>
      <w:r w:rsidR="002246BE">
        <w:t xml:space="preserve"> to value</w:t>
      </w:r>
      <w:r>
        <w:t xml:space="preserve">.  </w:t>
      </w:r>
    </w:p>
    <w:p w:rsidR="00B1140E" w:rsidRDefault="00B1140E" w:rsidP="00D17C68">
      <w:pPr>
        <w:rPr>
          <w:b/>
        </w:rPr>
        <w:sectPr w:rsidR="00B1140E" w:rsidSect="00B17D2B">
          <w:footerReference w:type="first" r:id="rId11"/>
          <w:endnotePr>
            <w:numFmt w:val="decimal"/>
          </w:endnotePr>
          <w:type w:val="continuous"/>
          <w:pgSz w:w="12240" w:h="15840" w:code="1"/>
          <w:pgMar w:top="1440" w:right="1440" w:bottom="1440" w:left="1440" w:header="0" w:footer="720" w:gutter="0"/>
          <w:cols w:space="720"/>
          <w:docGrid w:linePitch="360"/>
        </w:sectPr>
      </w:pPr>
    </w:p>
    <w:p w:rsidR="00B40D79" w:rsidRPr="00B40D79" w:rsidRDefault="00B40D79" w:rsidP="00D17C68">
      <w:pPr>
        <w:rPr>
          <w:b/>
        </w:rPr>
      </w:pPr>
      <w:r w:rsidRPr="00B40D79">
        <w:rPr>
          <w:b/>
        </w:rPr>
        <w:lastRenderedPageBreak/>
        <w:t>1.  Introduction</w:t>
      </w:r>
    </w:p>
    <w:p w:rsidR="00B40D79" w:rsidRDefault="00B40D79" w:rsidP="00D17C68"/>
    <w:p w:rsidR="00F35AAA" w:rsidRDefault="00F35AAA" w:rsidP="00F35AAA">
      <w:pPr>
        <w:spacing w:line="480" w:lineRule="auto"/>
        <w:ind w:firstLine="720"/>
      </w:pPr>
      <w:r>
        <w:t xml:space="preserve">The effectiveness of the VIX index as a leading indicator of style returns is examined by Copeland and Copeland (1999), who find that increases in the VIX Index lead to the outperformance of value-based portfolios relative to growth-based portfolios.  Boscaljon et. al. (2011) find that these effects have diminished over time and are more recently only observable over longer return horizon periods.  The theoretical underpinnings of both of these papers postulate that investors gravitate towards “value” in times of expected market turbulence (increased risk).  This supposition is first </w:t>
      </w:r>
      <w:r w:rsidR="002246BE">
        <w:t>propos</w:t>
      </w:r>
      <w:r w:rsidR="00B94D5D">
        <w:t>ed</w:t>
      </w:r>
      <w:r>
        <w:t xml:space="preserve"> by Merton (1980) and French et. al. (1987), who suggest a positive relationship between the market risk premium and expected future volatility that is related to the asymmetric volatility phenomenon.  Hence, lower beta value stocks perform better as stock prices fall in the face of expected increases in future volatility.  The converse applies to higher beta growth stocks.</w:t>
      </w:r>
    </w:p>
    <w:p w:rsidR="00F35AAA" w:rsidRDefault="00F35AAA" w:rsidP="00F35AAA">
      <w:pPr>
        <w:tabs>
          <w:tab w:val="left" w:pos="720"/>
          <w:tab w:val="left" w:pos="2250"/>
        </w:tabs>
        <w:spacing w:line="480" w:lineRule="auto"/>
      </w:pPr>
      <w:r>
        <w:tab/>
        <w:t xml:space="preserve">Numerous studies have shown that forward-looking implied volatility measures such as the VIX index provide predictive evidence regarding future realized volatility.  These studies examine </w:t>
      </w:r>
      <w:r w:rsidRPr="00181C02">
        <w:t>the implied volatility of options as an indicator of investor expectations regarding future equity volatility.  The results of early studies are somewhat mixed but most recent studies confirm a generally positive relationship between implied volatility and future realized volatility.</w:t>
      </w:r>
      <w:r w:rsidRPr="00181C02">
        <w:rPr>
          <w:rStyle w:val="EndnoteReference"/>
        </w:rPr>
        <w:endnoteReference w:id="1"/>
      </w:r>
      <w:r w:rsidRPr="00181C02">
        <w:t xml:space="preserve">  Sarwar (2005) finds a positive relation between implied volatility and options trading volume in S&amp;P 500 Index options.  Amman</w:t>
      </w:r>
      <w:r w:rsidR="000C40A7">
        <w:t>n</w:t>
      </w:r>
      <w:r w:rsidRPr="00181C02">
        <w:t xml:space="preserve"> et. al. (2009) find</w:t>
      </w:r>
      <w:r>
        <w:t xml:space="preserve"> </w:t>
      </w:r>
      <w:r w:rsidR="00D874AD">
        <w:t xml:space="preserve">a positive relation between </w:t>
      </w:r>
      <w:r w:rsidRPr="00181C02">
        <w:t>implied volatility and future realized volatility</w:t>
      </w:r>
      <w:r>
        <w:t xml:space="preserve"> in single stock options</w:t>
      </w:r>
      <w:r w:rsidRPr="00181C02">
        <w:t>.  Christoffersen et. al. (2013) find a similar relation for the stocks in the Dow Jones Industrial</w:t>
      </w:r>
      <w:r>
        <w:t>s Average</w:t>
      </w:r>
      <w:r w:rsidRPr="00181C02">
        <w:t>.  DeMiguel et. al. (2013) find that implied volatility is a useful factor to consider in the selection of</w:t>
      </w:r>
      <w:r>
        <w:t xml:space="preserve"> efficient</w:t>
      </w:r>
      <w:r w:rsidRPr="00181C02">
        <w:t xml:space="preserve"> mean-variance portfolios, </w:t>
      </w:r>
      <w:r>
        <w:t xml:space="preserve">since single stock </w:t>
      </w:r>
      <w:r w:rsidRPr="00181C02">
        <w:t xml:space="preserve">implied volatility </w:t>
      </w:r>
      <w:r>
        <w:t>is</w:t>
      </w:r>
      <w:r w:rsidRPr="00181C02">
        <w:t xml:space="preserve"> useful in forecasts of both future </w:t>
      </w:r>
      <w:r w:rsidR="00142FA2">
        <w:lastRenderedPageBreak/>
        <w:t>v</w:t>
      </w:r>
      <w:r w:rsidRPr="00181C02">
        <w:t>olatility and returns</w:t>
      </w:r>
      <w:r>
        <w:t xml:space="preserve"> of S&amp;P 500 component stocks on a daily and intraday basis</w:t>
      </w:r>
      <w:r w:rsidRPr="00181C02">
        <w:t>.  Similarly, Giot (2005) finds a positive relationship between the VIX Index and future stock returns, confirming the results of Copeland and Copeland (1999) and Boscaljon et. al. (2011) that are partial</w:t>
      </w:r>
      <w:r>
        <w:t>ly supported by the results</w:t>
      </w:r>
      <w:r w:rsidRPr="00181C02">
        <w:t xml:space="preserve"> in this article.  An et. al. (2014) finds a positive relation among in increases in call implied volatilities and future stock returns</w:t>
      </w:r>
      <w:r w:rsidR="000C40A7">
        <w:t>, and a</w:t>
      </w:r>
      <w:r w:rsidRPr="00181C02">
        <w:t>dditional evidence on this topic is provided by Bali et. al. (2015),</w:t>
      </w:r>
      <w:r>
        <w:t xml:space="preserve"> and </w:t>
      </w:r>
      <w:r w:rsidRPr="00181C02">
        <w:t>Brous et. al. (2009)</w:t>
      </w:r>
      <w:r>
        <w:t xml:space="preserve">.  </w:t>
      </w:r>
    </w:p>
    <w:p w:rsidR="00B17D2B" w:rsidRDefault="00F35AAA" w:rsidP="00D17C68">
      <w:pPr>
        <w:spacing w:line="480" w:lineRule="auto"/>
        <w:ind w:firstLine="720"/>
      </w:pPr>
      <w:r>
        <w:t xml:space="preserve">The literature regarding the use of the volatility measures to enhance asset allocation decisions is well documented in Boscaljon et. al. (2011), so the discussion here is limited to a few papers that directly relate to </w:t>
      </w:r>
      <w:r w:rsidR="00B76748">
        <w:t xml:space="preserve">our results.  Goldwhite (2009) </w:t>
      </w:r>
      <w:r>
        <w:t>demonstrates that the VIX index is a useful indicator for investors with different levels of risk aversion as he examines the relationships among volatility and the returns to value and growth stocks.  Below et. al. (2009) find that active rebalancing outperforms a passive approach to style investing, although they caution that the most optimal timeframes for rebalancing schemes require further study, consistent with our results.  Puttonen and Seppä (2006) further document the value added by an active approach to investing in value and growth stock indexes.</w:t>
      </w:r>
      <w:r w:rsidR="00465BC9">
        <w:t xml:space="preserve">  </w:t>
      </w:r>
      <w:r>
        <w:t>While the present study is related to this prior research, our main contribution to the literature is the introduction of the additional concept of “uncertainty” (also known as “ambiguity”) into the analysis.  We use the recently developed CBOE VVIX Index (the “volatility of volatility” index) as a proxy for un</w:t>
      </w:r>
      <w:r w:rsidR="000C40A7">
        <w:t>certainty, or “unknown unknowns.</w:t>
      </w:r>
      <w:r>
        <w:t>”</w:t>
      </w:r>
      <w:r w:rsidR="000C40A7">
        <w:t xml:space="preserve"> </w:t>
      </w:r>
      <w:r>
        <w:t xml:space="preserve"> As noted in a CBOE (2012) white paper, the VVIX measures the expected volatility of the 30-day forward price of the CBOE Volatility Index (the VIX), and further</w:t>
      </w:r>
      <w:r w:rsidRPr="0089568E">
        <w:t xml:space="preserve"> details on the VVIX index can be fou</w:t>
      </w:r>
      <w:r>
        <w:t xml:space="preserve">nd there.  </w:t>
      </w:r>
      <w:r w:rsidR="000C40A7">
        <w:t xml:space="preserve">We use this </w:t>
      </w:r>
      <w:r w:rsidR="000C40A7">
        <w:t xml:space="preserve">measure </w:t>
      </w:r>
      <w:r w:rsidR="000C40A7">
        <w:t xml:space="preserve">as a proxy for </w:t>
      </w:r>
      <w:r w:rsidR="000C40A7">
        <w:t xml:space="preserve">uncertainty about the future distribution of returns in the mean-variance framework.  </w:t>
      </w:r>
    </w:p>
    <w:p w:rsidR="00F35AAA" w:rsidRDefault="000C40A7" w:rsidP="00D17C68">
      <w:pPr>
        <w:spacing w:line="480" w:lineRule="auto"/>
        <w:ind w:firstLine="720"/>
      </w:pPr>
      <w:r w:rsidRPr="0089568E">
        <w:lastRenderedPageBreak/>
        <w:t>This concept is commonly known in the l</w:t>
      </w:r>
      <w:r>
        <w:t>iterature as “Knightian Uncertai</w:t>
      </w:r>
      <w:r>
        <w:t xml:space="preserve">nty” based on Knight (1921), since he suggests a distinction between risk (volatility that can be measured using probabilities) and “unmeasurable uncertainty.”  </w:t>
      </w:r>
      <w:r w:rsidR="00775010">
        <w:t>E</w:t>
      </w:r>
      <w:r w:rsidR="00F35AAA" w:rsidRPr="00280786">
        <w:t xml:space="preserve">xpected utility theory </w:t>
      </w:r>
      <w:r>
        <w:t xml:space="preserve">posits that </w:t>
      </w:r>
      <w:r w:rsidR="00F35AAA" w:rsidRPr="00280786">
        <w:t>risk and risk aversion are the only parameters that determine expected returns</w:t>
      </w:r>
      <w:r w:rsidR="00775010">
        <w:t xml:space="preserve">, but </w:t>
      </w:r>
      <w:r w:rsidR="00F35AAA" w:rsidRPr="00043622">
        <w:t xml:space="preserve">Ellsberg (1961) provides empirical examples where an agent’s decisions in ambiguous states </w:t>
      </w:r>
      <w:r w:rsidR="00775010">
        <w:t xml:space="preserve">provide </w:t>
      </w:r>
      <w:r w:rsidR="00043622" w:rsidRPr="00043622">
        <w:t>support</w:t>
      </w:r>
      <w:r w:rsidR="00043622" w:rsidRPr="00043622">
        <w:t xml:space="preserve"> for Knightian uncertainty.  </w:t>
      </w:r>
      <w:r w:rsidR="00F35AAA" w:rsidRPr="00043622">
        <w:t>Ellsberg</w:t>
      </w:r>
      <w:r w:rsidR="00043622" w:rsidRPr="00043622">
        <w:t>’s</w:t>
      </w:r>
      <w:r w:rsidR="00F35AAA" w:rsidRPr="00043622">
        <w:t xml:space="preserve"> paradox shows that decision-makers prefer gambles with known probabilities over those with ambiguous probabilities</w:t>
      </w:r>
      <w:r w:rsidR="00775010">
        <w:t xml:space="preserve">.  </w:t>
      </w:r>
      <w:r w:rsidR="0062206A">
        <w:t>There remain considerable differences of opinion regarding the theoretical and empirical evidence on the relation betw</w:t>
      </w:r>
      <w:r w:rsidR="00775010">
        <w:t xml:space="preserve">een returns and ambiguity.  </w:t>
      </w:r>
      <w:r w:rsidR="00775010" w:rsidRPr="0089568E">
        <w:t>Baltussen</w:t>
      </w:r>
      <w:r w:rsidR="00775010">
        <w:t xml:space="preserve"> et. al. </w:t>
      </w:r>
      <w:r w:rsidR="00775010" w:rsidRPr="0089568E">
        <w:t>(2014) explore this issue relative to single stocks using a</w:t>
      </w:r>
      <w:r w:rsidR="00775010">
        <w:t xml:space="preserve"> </w:t>
      </w:r>
      <w:r w:rsidR="00775010" w:rsidRPr="0089568E">
        <w:t>proxy for unce</w:t>
      </w:r>
      <w:r w:rsidR="00775010">
        <w:t>rtainty</w:t>
      </w:r>
      <w:r w:rsidR="00775010">
        <w:t xml:space="preserve"> that is similar to the VVIX index</w:t>
      </w:r>
      <w:r w:rsidR="00775010">
        <w:t xml:space="preserve"> (“vol of vol” in single stocks) to find a negative relation between uncertainty and future single stock returns.  Brenner and Izhakian (2012) find similar results for the SPDR S&amp;P 500 ETF using intraday data.  Aboura and Arisoy (2015) provide some theory supporting the idea that uncertainty is a significant part of the equity risk premium and should thus be related to expected returns.  They also conduct an empirical study of returns and the VVIX index that supports the supposition that uncertainty generates positive contemporaneous returns to value on a daily basis, which is similar to one </w:t>
      </w:r>
      <w:r w:rsidR="00D874AD">
        <w:t xml:space="preserve">of the results of this paper.  </w:t>
      </w:r>
      <w:r w:rsidR="002246BE">
        <w:t>Our study</w:t>
      </w:r>
      <w:r w:rsidR="0062206A">
        <w:t xml:space="preserve"> sheds some ligh</w:t>
      </w:r>
      <w:r w:rsidR="00775010">
        <w:t>t on the topic since we find that the</w:t>
      </w:r>
      <w:r w:rsidR="0062206A">
        <w:t xml:space="preserve"> relation</w:t>
      </w:r>
      <w:r w:rsidR="00775010">
        <w:t xml:space="preserve"> between ambiguity and returns</w:t>
      </w:r>
      <w:r w:rsidR="0062206A">
        <w:t xml:space="preserve"> for our sample of ETFs is dependent on the time horizon examined, and may explain some of the conflicting theoretical and empirical evidence.</w:t>
      </w:r>
      <w:r w:rsidR="00775010">
        <w:t xml:space="preserve">  </w:t>
      </w:r>
      <w:r w:rsidR="00F35AAA">
        <w:t xml:space="preserve">The distinction between volatility and uncertainty is illustrated in Figure 1.  Although the two measures are positively correlated (correlation coefficient of 0.39) and generally move together, that is not always the case.  As shown in the graph, ambiguity increased significantly in 2014 without a concurrent increase in volatility.  </w:t>
      </w:r>
    </w:p>
    <w:p w:rsidR="00F35AAA" w:rsidRDefault="00F35AAA" w:rsidP="00F35AAA">
      <w:pPr>
        <w:spacing w:line="480" w:lineRule="auto"/>
        <w:ind w:firstLine="720"/>
      </w:pPr>
      <w:r>
        <w:lastRenderedPageBreak/>
        <w:t xml:space="preserve">The additional contribution of the paper relates to the exponential growth and availability of high volume, easily traded exchange traded funds (ETFs) over the past decade.  The availability of these products provides the opportunity to examine the relation of </w:t>
      </w:r>
      <w:r w:rsidR="00775010">
        <w:t xml:space="preserve">expected </w:t>
      </w:r>
      <w:r>
        <w:t>volatility</w:t>
      </w:r>
      <w:r w:rsidR="00775010">
        <w:t xml:space="preserve"> and uncertainty</w:t>
      </w:r>
      <w:r>
        <w:t xml:space="preserve"> to growth and value using similarly tradable instruments</w:t>
      </w:r>
      <w:r w:rsidR="002246BE">
        <w:t>,</w:t>
      </w:r>
      <w:r>
        <w:t xml:space="preserve"> as opposed to MSCI BARRA or S&amp;P 500 value and growth po</w:t>
      </w:r>
      <w:r w:rsidR="001D7A5C">
        <w:t xml:space="preserve">rtfolios that may be costly and </w:t>
      </w:r>
      <w:r w:rsidR="002246BE">
        <w:t>or difficult to implement.  Thus t</w:t>
      </w:r>
      <w:r>
        <w:t xml:space="preserve">he use of ETF return time series’ allows for a more practical analysis of the data.  Our initial results using the VIX index </w:t>
      </w:r>
      <w:r w:rsidR="00465BC9">
        <w:t xml:space="preserve">alone </w:t>
      </w:r>
      <w:r>
        <w:t>are consistent with Boscaljon et. al. (2011), finding insignificant short term effects that become positive returns to value at the twenty day return horizon.</w:t>
      </w:r>
      <w:r w:rsidR="00775010">
        <w:rPr>
          <w:rStyle w:val="EndnoteReference"/>
        </w:rPr>
        <w:endnoteReference w:id="2"/>
      </w:r>
      <w:r>
        <w:t xml:space="preserve">  However, when we include the VVIX index in the analysis we find a short-term significant </w:t>
      </w:r>
      <w:r w:rsidRPr="00DF1391">
        <w:rPr>
          <w:i/>
        </w:rPr>
        <w:t>negative</w:t>
      </w:r>
      <w:r>
        <w:t xml:space="preserve"> return to value from volatility (VIX) that switc</w:t>
      </w:r>
      <w:r w:rsidR="00B76748">
        <w:t xml:space="preserve">hes to a positive influence at </w:t>
      </w:r>
      <w:r>
        <w:t>the same twenty day horizon.  The VVIX index provides significant incremental information regarding the interaction of returns, volatility, and uncertainty since we find that short-term uncertainty (VVIX) leads to positive short-term returns to value.  As this uncertainty is resolved in the marketplace over a period of about twenty days, however, its effect becomes negative while risk becomes the main driver of positive returns to value.  Short term trading strategies of long-short ETF pairs based on extreme values of the VIX and VVIX indexes largely outperform strategies based on extreme values of the VIX index alone.</w:t>
      </w:r>
    </w:p>
    <w:p w:rsidR="00B40D79" w:rsidRDefault="00B40D79" w:rsidP="00D17C68">
      <w:pPr>
        <w:spacing w:line="480" w:lineRule="auto"/>
        <w:ind w:firstLine="720"/>
      </w:pPr>
    </w:p>
    <w:p w:rsidR="001B25F9" w:rsidRDefault="001B25F9" w:rsidP="00D17C68">
      <w:pPr>
        <w:spacing w:line="480" w:lineRule="auto"/>
        <w:rPr>
          <w:b/>
        </w:rPr>
      </w:pPr>
      <w:r>
        <w:rPr>
          <w:b/>
        </w:rPr>
        <w:t>2.  Data sample and methodology</w:t>
      </w:r>
    </w:p>
    <w:p w:rsidR="00442E15" w:rsidRDefault="00E97758" w:rsidP="00D17C68">
      <w:pPr>
        <w:spacing w:line="480" w:lineRule="auto"/>
        <w:ind w:firstLine="720"/>
      </w:pPr>
      <w:r>
        <w:t>The CBOE provides daily closing</w:t>
      </w:r>
      <w:r w:rsidR="00465BC9">
        <w:t xml:space="preserve"> levels for </w:t>
      </w:r>
      <w:r>
        <w:t xml:space="preserve">the VVIX index beginning on June 1, 2006, so our sample data is collected from June </w:t>
      </w:r>
      <w:r w:rsidR="00B76748">
        <w:t xml:space="preserve">1, 2006 to December 31, 2014.  </w:t>
      </w:r>
      <w:r>
        <w:t>All of t</w:t>
      </w:r>
      <w:r w:rsidRPr="00E97758">
        <w:t xml:space="preserve">he </w:t>
      </w:r>
      <w:r w:rsidR="00C97C32">
        <w:t xml:space="preserve">data </w:t>
      </w:r>
      <w:r w:rsidRPr="00E97758">
        <w:t>is obtained from Bloomberg Professional®</w:t>
      </w:r>
      <w:r>
        <w:t xml:space="preserve"> for the VIX index, the VVIX index, and six style-based ETFs that are listed in Table 1.  </w:t>
      </w:r>
      <w:r w:rsidR="009C5D46">
        <w:t>As is evident in th</w:t>
      </w:r>
      <w:r w:rsidR="00BF53CF">
        <w:t>e table, each of these ETFs has</w:t>
      </w:r>
      <w:r w:rsidR="009C5D46">
        <w:t xml:space="preserve"> been in </w:t>
      </w:r>
      <w:r w:rsidR="009C5D46">
        <w:lastRenderedPageBreak/>
        <w:t>existence for almost fiftee</w:t>
      </w:r>
      <w:r w:rsidR="00341607">
        <w:t>n years, and they are all large, liquid instruments</w:t>
      </w:r>
      <w:r w:rsidR="00BF53CF">
        <w:t xml:space="preserve"> available to </w:t>
      </w:r>
      <w:r w:rsidR="00FF74E5">
        <w:t xml:space="preserve">easily </w:t>
      </w:r>
      <w:r w:rsidR="00BF53CF">
        <w:t>implement style-based trading strategies</w:t>
      </w:r>
      <w:r w:rsidR="00341607">
        <w:t xml:space="preserve">.  They are also similar in terms of total net assets and trading volume (the </w:t>
      </w:r>
      <w:r w:rsidR="00442E15">
        <w:t xml:space="preserve">average daily trading volume </w:t>
      </w:r>
      <w:r w:rsidR="00341607">
        <w:t>figures in the table are the most recent three-month average as of June 1, 2015</w:t>
      </w:r>
      <w:r w:rsidR="00BF53CF">
        <w:t>)</w:t>
      </w:r>
      <w:r w:rsidR="00341607">
        <w:t xml:space="preserve">.  The one exception to this statement is IVW, the large-cap growth ETF that is quite a bit larger than the others.  </w:t>
      </w:r>
    </w:p>
    <w:p w:rsidR="001B25F9" w:rsidRPr="00E97758" w:rsidRDefault="00C97C32" w:rsidP="00D17C68">
      <w:pPr>
        <w:spacing w:line="480" w:lineRule="auto"/>
        <w:ind w:firstLine="720"/>
      </w:pPr>
      <w:r>
        <w:t>Table 2 provides summary statistics for the data</w:t>
      </w:r>
      <w:r w:rsidR="00577534">
        <w:t>, where the figures for the volatility indices are closing daily levels and the ETF data are daily returns</w:t>
      </w:r>
      <w:r w:rsidR="00341607">
        <w:t>, hence the one observation difference in the sample</w:t>
      </w:r>
      <w:r w:rsidR="00442E15">
        <w:t xml:space="preserve"> size</w:t>
      </w:r>
      <w:r w:rsidR="00341607">
        <w:t>.  Over our sample time period, each of the ETFs experiences similar returns, although standard deviations decline mono</w:t>
      </w:r>
      <w:r w:rsidR="00AC55AE">
        <w:t xml:space="preserve">tonically as </w:t>
      </w:r>
      <w:r w:rsidR="00341607">
        <w:t>market capitalization rises</w:t>
      </w:r>
      <w:r w:rsidR="00721A18">
        <w:t xml:space="preserve">, </w:t>
      </w:r>
      <w:r w:rsidR="005C5824">
        <w:t>as</w:t>
      </w:r>
      <w:r w:rsidR="00721A18">
        <w:t xml:space="preserve"> </w:t>
      </w:r>
      <w:r w:rsidR="00442E15">
        <w:t>the larger capitalization stocks experience lower levels of volatility</w:t>
      </w:r>
      <w:r w:rsidR="00B76748">
        <w:t xml:space="preserve">.  </w:t>
      </w:r>
      <w:r w:rsidR="00577534">
        <w:t>A correlation matrix is provided in Table 3</w:t>
      </w:r>
      <w:r w:rsidR="00A252B0">
        <w:t>,</w:t>
      </w:r>
      <w:r w:rsidR="00577534">
        <w:t xml:space="preserve"> and the first item of interest is the </w:t>
      </w:r>
      <w:r w:rsidR="00AC55AE">
        <w:t xml:space="preserve">same </w:t>
      </w:r>
      <w:r w:rsidR="00577534">
        <w:t>positive relation between the VIX and VVIX</w:t>
      </w:r>
      <w:r w:rsidR="00AC55AE">
        <w:t xml:space="preserve"> that</w:t>
      </w:r>
      <w:r w:rsidR="00341607">
        <w:t xml:space="preserve"> we </w:t>
      </w:r>
      <w:r w:rsidR="00AC55AE">
        <w:t>observe</w:t>
      </w:r>
      <w:r w:rsidR="00341607">
        <w:t xml:space="preserve"> in Figure 1</w:t>
      </w:r>
      <w:r w:rsidR="00442E15">
        <w:t xml:space="preserve">, </w:t>
      </w:r>
      <w:r w:rsidR="002A0755">
        <w:t xml:space="preserve">consistent with the results of </w:t>
      </w:r>
      <w:r w:rsidR="00442E15">
        <w:t xml:space="preserve">Aboura and Arisoy (2015) </w:t>
      </w:r>
      <w:r w:rsidR="00577534">
        <w:t>.</w:t>
      </w:r>
      <w:r w:rsidR="00341607">
        <w:t xml:space="preserve">  </w:t>
      </w:r>
      <w:r w:rsidR="00AC55AE">
        <w:t xml:space="preserve">We also </w:t>
      </w:r>
      <w:r w:rsidR="00341607">
        <w:t xml:space="preserve">see the </w:t>
      </w:r>
      <w:r w:rsidR="00577534">
        <w:t xml:space="preserve">usual negative relation between </w:t>
      </w:r>
      <w:r w:rsidR="00341607">
        <w:t xml:space="preserve">the VIX index and contemporaneous returns, a result of the well-known asymmetric volatility phenomenon.  </w:t>
      </w:r>
      <w:r w:rsidR="00AC55AE">
        <w:t>Additionally, f</w:t>
      </w:r>
      <w:r w:rsidR="00341607">
        <w:t>or all six of the ETFs, this negative</w:t>
      </w:r>
      <w:r w:rsidR="00721A18">
        <w:t xml:space="preserve"> relation</w:t>
      </w:r>
      <w:r w:rsidR="00341607">
        <w:t xml:space="preserve"> is slightly larger for the VVIX, suggesting </w:t>
      </w:r>
      <w:r w:rsidR="00AC55AE">
        <w:t xml:space="preserve">that it too may provide information regarding future payoffs to value and growth.  Finally, with one exception, all of the correlations among ETF </w:t>
      </w:r>
      <w:r w:rsidR="00F97799">
        <w:t>p</w:t>
      </w:r>
      <w:r w:rsidR="00AC55AE">
        <w:t xml:space="preserve">airs are above 0.90, suggesting </w:t>
      </w:r>
      <w:r w:rsidR="00465BC9">
        <w:rPr>
          <w:i/>
        </w:rPr>
        <w:t xml:space="preserve">ex ante </w:t>
      </w:r>
      <w:r w:rsidR="00AC55AE">
        <w:t>that it may be difficult to use volatility</w:t>
      </w:r>
      <w:r w:rsidR="002246BE">
        <w:t xml:space="preserve"> and  </w:t>
      </w:r>
      <w:r w:rsidR="00465BC9">
        <w:t>or uncertainty</w:t>
      </w:r>
      <w:r w:rsidR="00AC55AE">
        <w:t xml:space="preserve"> information to forecast </w:t>
      </w:r>
      <w:r w:rsidR="00177288">
        <w:t xml:space="preserve">differential </w:t>
      </w:r>
      <w:r w:rsidR="00AC55AE">
        <w:t xml:space="preserve">returns to style, as reported by Boscaljon et. al.(2011).  </w:t>
      </w:r>
    </w:p>
    <w:p w:rsidR="0008790F" w:rsidRDefault="00177288" w:rsidP="0062206A">
      <w:pPr>
        <w:spacing w:line="480" w:lineRule="auto"/>
      </w:pPr>
      <w:r w:rsidRPr="00177288">
        <w:tab/>
      </w:r>
      <w:r w:rsidR="0008790F">
        <w:t>Following their paper, our first approach to examine this data is</w:t>
      </w:r>
      <w:r w:rsidR="0008790F" w:rsidRPr="00177288">
        <w:t xml:space="preserve"> to model </w:t>
      </w:r>
      <w:r w:rsidR="006305B0">
        <w:t xml:space="preserve">several </w:t>
      </w:r>
      <w:r w:rsidR="0008790F">
        <w:t xml:space="preserve">different future return windows as a function of changes in the VIX and VVIX indexes.  Specifically, we estimate the following OLS equations: </w:t>
      </w:r>
    </w:p>
    <w:p w:rsidR="0008790F" w:rsidRPr="00177288" w:rsidRDefault="0008790F" w:rsidP="0008790F">
      <w:pPr>
        <w:ind w:left="720" w:firstLine="60"/>
        <w:rPr>
          <w:i/>
          <w:szCs w:val="22"/>
        </w:rPr>
      </w:pPr>
      <m:oMathPara>
        <m:oMath>
          <m:r>
            <m:rPr>
              <m:sty m:val="p"/>
            </m:rPr>
            <w:rPr>
              <w:rFonts w:ascii="Cambria Math" w:eastAsiaTheme="minorHAnsi" w:hAnsi="Cambria Math" w:cstheme="majorBidi"/>
              <w:szCs w:val="22"/>
            </w:rPr>
            <w:br/>
          </m:r>
        </m:oMath>
        <m:oMath>
          <m:sSub>
            <m:sSubPr>
              <m:ctrlPr>
                <w:rPr>
                  <w:rFonts w:ascii="Cambria Math" w:eastAsiaTheme="minorHAnsi" w:hAnsi="Cambria Math" w:cstheme="majorBidi"/>
                  <w:i/>
                  <w:szCs w:val="22"/>
                </w:rPr>
              </m:ctrlPr>
            </m:sSubPr>
            <m:e>
              <m:r>
                <w:rPr>
                  <w:rFonts w:ascii="Cambria Math" w:eastAsiaTheme="minorHAnsi" w:hAnsi="Cambria Math" w:cstheme="majorBidi"/>
                  <w:szCs w:val="22"/>
                </w:rPr>
                <m:t>RET (</m:t>
              </m:r>
              <m:sSub>
                <m:sSubPr>
                  <m:ctrlPr>
                    <w:rPr>
                      <w:rFonts w:ascii="Cambria Math" w:eastAsiaTheme="minorHAnsi" w:hAnsi="Cambria Math" w:cstheme="majorBidi"/>
                      <w:i/>
                      <w:szCs w:val="22"/>
                    </w:rPr>
                  </m:ctrlPr>
                </m:sSubPr>
                <m:e>
                  <m:r>
                    <w:rPr>
                      <w:rFonts w:ascii="Cambria Math" w:eastAsiaTheme="minorHAnsi" w:hAnsi="Cambria Math" w:cstheme="majorBidi"/>
                      <w:szCs w:val="22"/>
                    </w:rPr>
                    <m:t>Value</m:t>
                  </m:r>
                </m:e>
                <m:sub>
                  <m:r>
                    <w:rPr>
                      <w:rFonts w:ascii="Cambria Math" w:eastAsiaTheme="minorHAnsi" w:hAnsi="Cambria Math" w:cstheme="majorBidi"/>
                      <w:szCs w:val="22"/>
                    </w:rPr>
                    <m:t>i,t+n</m:t>
                  </m:r>
                </m:sub>
              </m:sSub>
              <m:r>
                <w:rPr>
                  <w:rFonts w:ascii="Cambria Math" w:eastAsiaTheme="minorHAnsi" w:hAnsi="Cambria Math" w:cstheme="majorBidi"/>
                  <w:szCs w:val="22"/>
                </w:rPr>
                <m:t>-Growth</m:t>
              </m:r>
            </m:e>
            <m:sub>
              <m:r>
                <w:rPr>
                  <w:rFonts w:ascii="Cambria Math" w:eastAsiaTheme="minorHAnsi" w:hAnsi="Cambria Math" w:cstheme="majorBidi"/>
                  <w:szCs w:val="22"/>
                </w:rPr>
                <m:t>j,t+n</m:t>
              </m:r>
            </m:sub>
          </m:sSub>
          <m:r>
            <w:rPr>
              <w:rFonts w:ascii="Cambria Math" w:eastAsiaTheme="minorHAnsi" w:hAnsi="Cambria Math" w:cstheme="majorBidi"/>
              <w:szCs w:val="22"/>
            </w:rPr>
            <m:t>) =α+</m:t>
          </m:r>
          <m:sSub>
            <m:sSubPr>
              <m:ctrlPr>
                <w:rPr>
                  <w:rFonts w:ascii="Cambria Math" w:eastAsiaTheme="minorHAnsi" w:hAnsi="Cambria Math" w:cstheme="majorBidi"/>
                  <w:i/>
                  <w:szCs w:val="22"/>
                </w:rPr>
              </m:ctrlPr>
            </m:sSubPr>
            <m:e>
              <m:r>
                <w:rPr>
                  <w:rFonts w:ascii="Cambria Math" w:eastAsiaTheme="minorHAnsi" w:hAnsi="Cambria Math" w:cstheme="majorBidi"/>
                  <w:szCs w:val="22"/>
                </w:rPr>
                <m:t>β</m:t>
              </m:r>
            </m:e>
            <m:sub>
              <m:r>
                <w:rPr>
                  <w:rFonts w:ascii="Cambria Math" w:eastAsiaTheme="minorHAnsi" w:hAnsi="Cambria Math" w:cstheme="majorBidi"/>
                  <w:szCs w:val="22"/>
                </w:rPr>
                <m:t>1</m:t>
              </m:r>
            </m:sub>
          </m:sSub>
          <m:sSub>
            <m:sSubPr>
              <m:ctrlPr>
                <w:rPr>
                  <w:rFonts w:ascii="Cambria Math" w:eastAsiaTheme="minorHAnsi" w:hAnsi="Cambria Math" w:cstheme="majorBidi"/>
                  <w:i/>
                  <w:szCs w:val="22"/>
                </w:rPr>
              </m:ctrlPr>
            </m:sSubPr>
            <m:e>
              <m:r>
                <w:rPr>
                  <w:rFonts w:ascii="Cambria Math" w:eastAsiaTheme="minorHAnsi" w:hAnsi="Cambria Math" w:cstheme="majorBidi"/>
                  <w:szCs w:val="22"/>
                </w:rPr>
                <m:t>∆VIX</m:t>
              </m:r>
            </m:e>
            <m:sub>
              <m:r>
                <w:rPr>
                  <w:rFonts w:ascii="Cambria Math" w:eastAsiaTheme="minorHAnsi" w:hAnsi="Cambria Math" w:cstheme="majorBidi"/>
                  <w:szCs w:val="22"/>
                </w:rPr>
                <m:t>t</m:t>
              </m:r>
            </m:sub>
          </m:sSub>
          <m:r>
            <w:rPr>
              <w:rFonts w:ascii="Cambria Math" w:eastAsiaTheme="minorHAnsi" w:hAnsi="Cambria Math" w:cstheme="majorBidi"/>
              <w:szCs w:val="22"/>
            </w:rPr>
            <m:t>+</m:t>
          </m:r>
          <m:sSub>
            <m:sSubPr>
              <m:ctrlPr>
                <w:rPr>
                  <w:rFonts w:ascii="Cambria Math" w:eastAsiaTheme="minorHAnsi" w:hAnsi="Cambria Math" w:cstheme="majorBidi"/>
                  <w:i/>
                  <w:szCs w:val="22"/>
                </w:rPr>
              </m:ctrlPr>
            </m:sSubPr>
            <m:e>
              <m:r>
                <w:rPr>
                  <w:rFonts w:ascii="Cambria Math" w:eastAsiaTheme="minorHAnsi" w:hAnsi="Cambria Math" w:cstheme="majorBidi"/>
                  <w:szCs w:val="22"/>
                </w:rPr>
                <m:t>ε</m:t>
              </m:r>
            </m:e>
            <m:sub>
              <m:r>
                <w:rPr>
                  <w:rFonts w:ascii="Cambria Math" w:eastAsiaTheme="minorHAnsi" w:hAnsi="Cambria Math" w:cstheme="majorBidi"/>
                  <w:szCs w:val="22"/>
                </w:rPr>
                <m:t>i</m:t>
              </m:r>
              <m:r>
                <w:rPr>
                  <w:rFonts w:ascii="Cambria Math" w:eastAsiaTheme="minorHAnsi" w:hAnsi="Cambria Math" w:cstheme="majorBidi"/>
                  <w:szCs w:val="22"/>
                </w:rPr>
                <m:t>j</m:t>
              </m:r>
              <m:r>
                <w:rPr>
                  <w:rFonts w:ascii="Cambria Math" w:eastAsiaTheme="minorHAnsi" w:hAnsi="Cambria Math" w:cstheme="majorBidi"/>
                  <w:szCs w:val="22"/>
                </w:rPr>
                <m:t>,t</m:t>
              </m:r>
            </m:sub>
          </m:sSub>
          <m:r>
            <w:rPr>
              <w:rFonts w:ascii="Cambria Math" w:eastAsiaTheme="minorHAnsi" w:hAnsi="Cambria Math" w:cstheme="majorBidi"/>
              <w:szCs w:val="22"/>
            </w:rPr>
            <m:t xml:space="preserve">                                                   (1)</m:t>
          </m:r>
        </m:oMath>
      </m:oMathPara>
    </w:p>
    <w:p w:rsidR="0008790F" w:rsidRDefault="0008790F" w:rsidP="0008790F">
      <w:pPr>
        <w:ind w:left="720" w:firstLine="60"/>
        <w:rPr>
          <w:i/>
          <w:szCs w:val="22"/>
        </w:rPr>
      </w:pPr>
    </w:p>
    <w:p w:rsidR="0008790F" w:rsidRPr="00177288" w:rsidRDefault="0008790F" w:rsidP="0008790F">
      <w:pPr>
        <w:ind w:left="720" w:firstLine="60"/>
        <w:rPr>
          <w:i/>
          <w:szCs w:val="22"/>
        </w:rPr>
      </w:pPr>
      <m:oMathPara>
        <m:oMath>
          <m:sSub>
            <m:sSubPr>
              <m:ctrlPr>
                <w:rPr>
                  <w:rFonts w:ascii="Cambria Math" w:eastAsiaTheme="minorHAnsi" w:hAnsi="Cambria Math" w:cstheme="majorBidi"/>
                  <w:i/>
                  <w:szCs w:val="22"/>
                </w:rPr>
              </m:ctrlPr>
            </m:sSubPr>
            <m:e>
              <m:r>
                <w:rPr>
                  <w:rFonts w:ascii="Cambria Math" w:eastAsiaTheme="minorHAnsi" w:hAnsi="Cambria Math" w:cstheme="majorBidi"/>
                  <w:szCs w:val="22"/>
                </w:rPr>
                <m:t>RET (</m:t>
              </m:r>
              <m:sSub>
                <m:sSubPr>
                  <m:ctrlPr>
                    <w:rPr>
                      <w:rFonts w:ascii="Cambria Math" w:eastAsiaTheme="minorHAnsi" w:hAnsi="Cambria Math" w:cstheme="majorBidi"/>
                      <w:i/>
                      <w:szCs w:val="22"/>
                    </w:rPr>
                  </m:ctrlPr>
                </m:sSubPr>
                <m:e>
                  <m:r>
                    <w:rPr>
                      <w:rFonts w:ascii="Cambria Math" w:eastAsiaTheme="minorHAnsi" w:hAnsi="Cambria Math" w:cstheme="majorBidi"/>
                      <w:szCs w:val="22"/>
                    </w:rPr>
                    <m:t>Value</m:t>
                  </m:r>
                </m:e>
                <m:sub>
                  <m:r>
                    <w:rPr>
                      <w:rFonts w:ascii="Cambria Math" w:eastAsiaTheme="minorHAnsi" w:hAnsi="Cambria Math" w:cstheme="majorBidi"/>
                      <w:szCs w:val="22"/>
                    </w:rPr>
                    <m:t>i,t+n</m:t>
                  </m:r>
                </m:sub>
              </m:sSub>
              <m:r>
                <w:rPr>
                  <w:rFonts w:ascii="Cambria Math" w:eastAsiaTheme="minorHAnsi" w:hAnsi="Cambria Math" w:cstheme="majorBidi"/>
                  <w:szCs w:val="22"/>
                </w:rPr>
                <m:t>-Growth</m:t>
              </m:r>
            </m:e>
            <m:sub>
              <m:r>
                <w:rPr>
                  <w:rFonts w:ascii="Cambria Math" w:eastAsiaTheme="minorHAnsi" w:hAnsi="Cambria Math" w:cstheme="majorBidi"/>
                  <w:szCs w:val="22"/>
                </w:rPr>
                <m:t>j,t+n</m:t>
              </m:r>
            </m:sub>
          </m:sSub>
          <m:r>
            <w:rPr>
              <w:rFonts w:ascii="Cambria Math" w:eastAsiaTheme="minorHAnsi" w:hAnsi="Cambria Math" w:cstheme="majorBidi"/>
              <w:szCs w:val="22"/>
            </w:rPr>
            <m:t>) =α+</m:t>
          </m:r>
          <m:sSub>
            <m:sSubPr>
              <m:ctrlPr>
                <w:rPr>
                  <w:rFonts w:ascii="Cambria Math" w:eastAsiaTheme="minorHAnsi" w:hAnsi="Cambria Math" w:cstheme="majorBidi"/>
                  <w:i/>
                  <w:szCs w:val="22"/>
                </w:rPr>
              </m:ctrlPr>
            </m:sSubPr>
            <m:e>
              <m:r>
                <w:rPr>
                  <w:rFonts w:ascii="Cambria Math" w:eastAsiaTheme="minorHAnsi" w:hAnsi="Cambria Math" w:cstheme="majorBidi"/>
                  <w:szCs w:val="22"/>
                </w:rPr>
                <m:t>β</m:t>
              </m:r>
            </m:e>
            <m:sub>
              <m:r>
                <w:rPr>
                  <w:rFonts w:ascii="Cambria Math" w:eastAsiaTheme="minorHAnsi" w:hAnsi="Cambria Math" w:cstheme="majorBidi"/>
                  <w:szCs w:val="22"/>
                </w:rPr>
                <m:t>1</m:t>
              </m:r>
            </m:sub>
          </m:sSub>
          <m:sSub>
            <m:sSubPr>
              <m:ctrlPr>
                <w:rPr>
                  <w:rFonts w:ascii="Cambria Math" w:eastAsiaTheme="minorHAnsi" w:hAnsi="Cambria Math" w:cstheme="majorBidi"/>
                  <w:i/>
                  <w:szCs w:val="22"/>
                </w:rPr>
              </m:ctrlPr>
            </m:sSubPr>
            <m:e>
              <m:r>
                <w:rPr>
                  <w:rFonts w:ascii="Cambria Math" w:eastAsiaTheme="minorHAnsi" w:hAnsi="Cambria Math" w:cstheme="majorBidi"/>
                  <w:szCs w:val="22"/>
                </w:rPr>
                <m:t>∆VIX</m:t>
              </m:r>
            </m:e>
            <m:sub>
              <m:r>
                <w:rPr>
                  <w:rFonts w:ascii="Cambria Math" w:eastAsiaTheme="minorHAnsi" w:hAnsi="Cambria Math" w:cstheme="majorBidi"/>
                  <w:szCs w:val="22"/>
                </w:rPr>
                <m:t>t</m:t>
              </m:r>
            </m:sub>
          </m:sSub>
          <m:r>
            <w:rPr>
              <w:rFonts w:ascii="Cambria Math" w:eastAsiaTheme="minorHAnsi" w:hAnsi="Cambria Math" w:cstheme="majorBidi"/>
              <w:szCs w:val="22"/>
            </w:rPr>
            <m:t>+</m:t>
          </m:r>
          <m:sSub>
            <m:sSubPr>
              <m:ctrlPr>
                <w:rPr>
                  <w:rFonts w:ascii="Cambria Math" w:eastAsiaTheme="minorHAnsi" w:hAnsi="Cambria Math" w:cstheme="majorBidi"/>
                  <w:i/>
                  <w:szCs w:val="22"/>
                </w:rPr>
              </m:ctrlPr>
            </m:sSubPr>
            <m:e>
              <m:sSub>
                <m:sSubPr>
                  <m:ctrlPr>
                    <w:rPr>
                      <w:rFonts w:ascii="Cambria Math" w:eastAsiaTheme="minorHAnsi" w:hAnsi="Cambria Math" w:cstheme="majorBidi"/>
                      <w:i/>
                      <w:szCs w:val="22"/>
                    </w:rPr>
                  </m:ctrlPr>
                </m:sSubPr>
                <m:e>
                  <m:r>
                    <w:rPr>
                      <w:rFonts w:ascii="Cambria Math" w:eastAsiaTheme="minorHAnsi" w:hAnsi="Cambria Math" w:cstheme="majorBidi"/>
                      <w:szCs w:val="22"/>
                    </w:rPr>
                    <m:t>β</m:t>
                  </m:r>
                </m:e>
                <m:sub>
                  <m:r>
                    <w:rPr>
                      <w:rFonts w:ascii="Cambria Math" w:eastAsiaTheme="minorHAnsi" w:hAnsi="Cambria Math" w:cstheme="majorBidi"/>
                      <w:szCs w:val="22"/>
                    </w:rPr>
                    <m:t>2</m:t>
                  </m:r>
                </m:sub>
              </m:sSub>
              <m:r>
                <w:rPr>
                  <w:rFonts w:ascii="Cambria Math" w:eastAsiaTheme="minorHAnsi" w:hAnsi="Cambria Math" w:cstheme="majorBidi"/>
                  <w:szCs w:val="22"/>
                </w:rPr>
                <m:t>∆</m:t>
              </m:r>
              <m:sSub>
                <m:sSubPr>
                  <m:ctrlPr>
                    <w:rPr>
                      <w:rFonts w:ascii="Cambria Math" w:eastAsiaTheme="minorHAnsi" w:hAnsi="Cambria Math" w:cstheme="majorBidi"/>
                      <w:i/>
                      <w:szCs w:val="22"/>
                    </w:rPr>
                  </m:ctrlPr>
                </m:sSubPr>
                <m:e>
                  <m:r>
                    <w:rPr>
                      <w:rFonts w:ascii="Cambria Math" w:eastAsiaTheme="minorHAnsi" w:hAnsi="Cambria Math" w:cstheme="majorBidi"/>
                      <w:szCs w:val="22"/>
                    </w:rPr>
                    <m:t>VVIX</m:t>
                  </m:r>
                </m:e>
                <m:sub>
                  <m:r>
                    <w:rPr>
                      <w:rFonts w:ascii="Cambria Math" w:eastAsiaTheme="minorHAnsi" w:hAnsi="Cambria Math" w:cstheme="majorBidi"/>
                      <w:szCs w:val="22"/>
                    </w:rPr>
                    <m:t>t</m:t>
                  </m:r>
                </m:sub>
              </m:sSub>
              <m:r>
                <w:rPr>
                  <w:rFonts w:ascii="Cambria Math" w:eastAsiaTheme="minorHAnsi" w:hAnsi="Cambria Math" w:cstheme="majorBidi"/>
                  <w:szCs w:val="22"/>
                </w:rPr>
                <m:t>+ε</m:t>
              </m:r>
            </m:e>
            <m:sub>
              <m:r>
                <w:rPr>
                  <w:rFonts w:ascii="Cambria Math" w:eastAsiaTheme="minorHAnsi" w:hAnsi="Cambria Math" w:cstheme="majorBidi"/>
                  <w:szCs w:val="22"/>
                </w:rPr>
                <m:t>i</m:t>
              </m:r>
              <m:r>
                <w:rPr>
                  <w:rFonts w:ascii="Cambria Math" w:eastAsiaTheme="minorHAnsi" w:hAnsi="Cambria Math" w:cstheme="majorBidi"/>
                  <w:szCs w:val="22"/>
                </w:rPr>
                <m:t>j</m:t>
              </m:r>
              <m:r>
                <w:rPr>
                  <w:rFonts w:ascii="Cambria Math" w:eastAsiaTheme="minorHAnsi" w:hAnsi="Cambria Math" w:cstheme="majorBidi"/>
                  <w:szCs w:val="22"/>
                </w:rPr>
                <m:t>,t</m:t>
              </m:r>
            </m:sub>
          </m:sSub>
          <m:r>
            <w:rPr>
              <w:rFonts w:ascii="Cambria Math" w:eastAsiaTheme="minorHAnsi" w:hAnsi="Cambria Math" w:cstheme="majorBidi"/>
              <w:szCs w:val="22"/>
            </w:rPr>
            <m:t xml:space="preserve">                           (2)</m:t>
          </m:r>
        </m:oMath>
      </m:oMathPara>
    </w:p>
    <w:p w:rsidR="0008790F" w:rsidRDefault="0008790F" w:rsidP="0008790F">
      <w:pPr>
        <w:spacing w:line="480" w:lineRule="auto"/>
      </w:pPr>
    </w:p>
    <w:p w:rsidR="0008790F" w:rsidRDefault="0008790F" w:rsidP="0008790F">
      <w:pPr>
        <w:spacing w:line="480" w:lineRule="auto"/>
      </w:pPr>
      <w:r>
        <w:t xml:space="preserve">where </w:t>
      </w:r>
      <m:oMath>
        <m:sSub>
          <m:sSubPr>
            <m:ctrlPr>
              <w:rPr>
                <w:rFonts w:ascii="Cambria Math" w:eastAsiaTheme="minorHAnsi" w:hAnsi="Cambria Math" w:cstheme="majorBidi"/>
                <w:i/>
                <w:szCs w:val="22"/>
              </w:rPr>
            </m:ctrlPr>
          </m:sSubPr>
          <m:e>
            <m:r>
              <w:rPr>
                <w:rFonts w:ascii="Cambria Math" w:eastAsiaTheme="minorHAnsi" w:hAnsi="Cambria Math" w:cstheme="majorBidi"/>
                <w:szCs w:val="22"/>
              </w:rPr>
              <m:t>RET (</m:t>
            </m:r>
            <m:sSub>
              <m:sSubPr>
                <m:ctrlPr>
                  <w:rPr>
                    <w:rFonts w:ascii="Cambria Math" w:eastAsiaTheme="minorHAnsi" w:hAnsi="Cambria Math" w:cstheme="majorBidi"/>
                    <w:i/>
                    <w:szCs w:val="22"/>
                  </w:rPr>
                </m:ctrlPr>
              </m:sSubPr>
              <m:e>
                <m:r>
                  <w:rPr>
                    <w:rFonts w:ascii="Cambria Math" w:eastAsiaTheme="minorHAnsi" w:hAnsi="Cambria Math" w:cstheme="majorBidi"/>
                    <w:szCs w:val="22"/>
                  </w:rPr>
                  <m:t>Value</m:t>
                </m:r>
              </m:e>
              <m:sub>
                <m:r>
                  <w:rPr>
                    <w:rFonts w:ascii="Cambria Math" w:eastAsiaTheme="minorHAnsi" w:hAnsi="Cambria Math" w:cstheme="majorBidi"/>
                    <w:szCs w:val="22"/>
                  </w:rPr>
                  <m:t>i,t+n</m:t>
                </m:r>
              </m:sub>
            </m:sSub>
            <m:r>
              <w:rPr>
                <w:rFonts w:ascii="Cambria Math" w:eastAsiaTheme="minorHAnsi" w:hAnsi="Cambria Math" w:cstheme="majorBidi"/>
                <w:szCs w:val="22"/>
              </w:rPr>
              <m:t>-Growth</m:t>
            </m:r>
          </m:e>
          <m:sub>
            <m:r>
              <w:rPr>
                <w:rFonts w:ascii="Cambria Math" w:eastAsiaTheme="minorHAnsi" w:hAnsi="Cambria Math" w:cstheme="majorBidi"/>
                <w:szCs w:val="22"/>
              </w:rPr>
              <m:t>j,t+n</m:t>
            </m:r>
          </m:sub>
        </m:sSub>
        <m:r>
          <w:rPr>
            <w:rFonts w:ascii="Cambria Math" w:eastAsiaTheme="minorHAnsi" w:hAnsi="Cambria Math" w:cstheme="majorBidi"/>
            <w:szCs w:val="22"/>
          </w:rPr>
          <m:t xml:space="preserve">)  </m:t>
        </m:r>
      </m:oMath>
      <w:r>
        <w:rPr>
          <w:szCs w:val="22"/>
        </w:rPr>
        <w:t xml:space="preserve">represents the relevant time period return (from </w:t>
      </w:r>
      <w:r w:rsidRPr="003332FB">
        <w:rPr>
          <w:i/>
          <w:szCs w:val="22"/>
        </w:rPr>
        <w:t>n</w:t>
      </w:r>
      <w:r>
        <w:rPr>
          <w:szCs w:val="22"/>
        </w:rPr>
        <w:t xml:space="preserve"> equals one to sixty days in discrete increments) for a long position in the value ETF </w:t>
      </w:r>
      <w:r>
        <w:rPr>
          <w:i/>
          <w:szCs w:val="22"/>
        </w:rPr>
        <w:t>i</w:t>
      </w:r>
      <w:r>
        <w:rPr>
          <w:szCs w:val="22"/>
        </w:rPr>
        <w:t xml:space="preserve"> (e.g. IVE, the iShares S&amp;P 500 Value ETF) and a short position in the growth ETF </w:t>
      </w:r>
      <w:r>
        <w:rPr>
          <w:i/>
          <w:szCs w:val="22"/>
        </w:rPr>
        <w:t>j</w:t>
      </w:r>
      <w:r>
        <w:rPr>
          <w:szCs w:val="22"/>
        </w:rPr>
        <w:t xml:space="preserve"> (e.g. IVW, the iShares S&amp;P 500 Growth ETF) for each of the three size-based ETF classifications.  </w:t>
      </w:r>
      <m:oMath>
        <m:r>
          <w:rPr>
            <w:rFonts w:ascii="Cambria Math" w:hAnsi="Cambria Math"/>
            <w:szCs w:val="22"/>
          </w:rPr>
          <m:t>∆</m:t>
        </m:r>
        <m:sSub>
          <m:sSubPr>
            <m:ctrlPr>
              <w:rPr>
                <w:rFonts w:ascii="Cambria Math" w:eastAsiaTheme="minorHAnsi" w:hAnsi="Cambria Math" w:cstheme="majorBidi"/>
                <w:i/>
                <w:szCs w:val="22"/>
              </w:rPr>
            </m:ctrlPr>
          </m:sSubPr>
          <m:e>
            <m:r>
              <w:rPr>
                <w:rFonts w:ascii="Cambria Math" w:eastAsiaTheme="minorHAnsi" w:hAnsi="Cambria Math" w:cstheme="majorBidi"/>
                <w:szCs w:val="22"/>
              </w:rPr>
              <m:t>VIX</m:t>
            </m:r>
          </m:e>
          <m:sub>
            <m:r>
              <w:rPr>
                <w:rFonts w:ascii="Cambria Math" w:eastAsiaTheme="minorHAnsi" w:hAnsi="Cambria Math" w:cstheme="majorBidi"/>
                <w:szCs w:val="22"/>
              </w:rPr>
              <m:t>t</m:t>
            </m:r>
          </m:sub>
        </m:sSub>
      </m:oMath>
      <w:r>
        <w:rPr>
          <w:szCs w:val="22"/>
        </w:rPr>
        <w:t xml:space="preserve"> and </w:t>
      </w:r>
      <m:oMath>
        <m:sSub>
          <m:sSubPr>
            <m:ctrlPr>
              <w:rPr>
                <w:rFonts w:ascii="Cambria Math" w:eastAsiaTheme="minorHAnsi" w:hAnsi="Cambria Math" w:cstheme="majorBidi"/>
                <w:i/>
                <w:szCs w:val="22"/>
              </w:rPr>
            </m:ctrlPr>
          </m:sSubPr>
          <m:e>
            <m:r>
              <w:rPr>
                <w:rFonts w:ascii="Cambria Math" w:eastAsiaTheme="minorHAnsi" w:hAnsi="Cambria Math" w:cstheme="majorBidi"/>
                <w:szCs w:val="22"/>
              </w:rPr>
              <m:t>∆VVIX</m:t>
            </m:r>
          </m:e>
          <m:sub>
            <m:r>
              <w:rPr>
                <w:rFonts w:ascii="Cambria Math" w:eastAsiaTheme="minorHAnsi" w:hAnsi="Cambria Math" w:cstheme="majorBidi"/>
                <w:szCs w:val="22"/>
              </w:rPr>
              <m:t>t</m:t>
            </m:r>
          </m:sub>
        </m:sSub>
      </m:oMath>
      <w:r>
        <w:rPr>
          <w:szCs w:val="22"/>
        </w:rPr>
        <w:t xml:space="preserve"> represent daily changes in the levels of the VIX index and the VVIX index, respectively, on day 0.  The first equation is similar to the specification of </w:t>
      </w:r>
      <w:r>
        <w:t>Copeland and Copeland (1999) for MSCI BARRA size and value indices, although they implement contemporaneous equations while ours are predictive as in Boscaljon et. al. (2011).  The second equation adds</w:t>
      </w:r>
      <w:r w:rsidR="002246BE">
        <w:t xml:space="preserve"> daily changes in</w:t>
      </w:r>
      <w:r>
        <w:t xml:space="preserve"> the VVIX index as a proxy for ambiguity to determine whether it possesses further explanatory power for future returns to value.  </w:t>
      </w:r>
    </w:p>
    <w:p w:rsidR="0008790F" w:rsidRDefault="0008790F" w:rsidP="0008790F">
      <w:pPr>
        <w:spacing w:line="480" w:lineRule="auto"/>
        <w:ind w:firstLine="720"/>
      </w:pPr>
      <w:r>
        <w:t xml:space="preserve">Since we find no significant relations among these indexes for the highly efficient and liquid ETFs in </w:t>
      </w:r>
      <w:r w:rsidR="00510B51">
        <w:t>in our study</w:t>
      </w:r>
      <w:r>
        <w:t>, we also examine levels of these indices based on deviations from their seventy-five day moving averages, as suggested by</w:t>
      </w:r>
      <w:r w:rsidR="004053BB">
        <w:t xml:space="preserve"> the trading </w:t>
      </w:r>
      <w:r w:rsidR="002246BE">
        <w:t xml:space="preserve">strategy </w:t>
      </w:r>
      <w:r w:rsidR="004053BB">
        <w:t>results of</w:t>
      </w:r>
      <w:r>
        <w:t xml:space="preserve"> Copeland and Copeland (1999) and Boscaljon et. al. (2011).  Since both of these indexes are generally mean-reverting, these measures provide an indication of whether or not their levels are over- or under</w:t>
      </w:r>
      <w:r w:rsidR="0062206A">
        <w:t>-</w:t>
      </w:r>
      <w:r w:rsidR="00510B51">
        <w:t>“</w:t>
      </w:r>
      <w:r>
        <w:t>valued</w:t>
      </w:r>
      <w:r w:rsidR="00510B51">
        <w:t>”</w:t>
      </w:r>
      <w:r>
        <w:t xml:space="preserve"> relative to </w:t>
      </w:r>
      <w:r w:rsidR="00510B51">
        <w:t xml:space="preserve">future </w:t>
      </w:r>
      <w:r>
        <w:t>returns to value.  We estimate the following OLS equations:</w:t>
      </w:r>
    </w:p>
    <w:p w:rsidR="0008790F" w:rsidRPr="00CD51A8" w:rsidRDefault="0008790F" w:rsidP="0008790F">
      <w:pPr>
        <w:spacing w:line="480" w:lineRule="auto"/>
        <w:ind w:left="720" w:firstLine="720"/>
      </w:pPr>
      <m:oMathPara>
        <m:oMath>
          <m:sSub>
            <m:sSubPr>
              <m:ctrlPr>
                <w:rPr>
                  <w:rFonts w:ascii="Cambria Math" w:eastAsiaTheme="minorHAnsi" w:hAnsi="Cambria Math" w:cstheme="majorBidi"/>
                  <w:i/>
                  <w:szCs w:val="22"/>
                </w:rPr>
              </m:ctrlPr>
            </m:sSubPr>
            <m:e>
              <m:r>
                <w:rPr>
                  <w:rFonts w:ascii="Cambria Math" w:eastAsiaTheme="minorHAnsi" w:hAnsi="Cambria Math" w:cstheme="majorBidi"/>
                  <w:szCs w:val="22"/>
                </w:rPr>
                <m:t>RET (</m:t>
              </m:r>
              <m:sSub>
                <m:sSubPr>
                  <m:ctrlPr>
                    <w:rPr>
                      <w:rFonts w:ascii="Cambria Math" w:eastAsiaTheme="minorHAnsi" w:hAnsi="Cambria Math" w:cstheme="majorBidi"/>
                      <w:i/>
                      <w:szCs w:val="22"/>
                    </w:rPr>
                  </m:ctrlPr>
                </m:sSubPr>
                <m:e>
                  <m:r>
                    <w:rPr>
                      <w:rFonts w:ascii="Cambria Math" w:eastAsiaTheme="minorHAnsi" w:hAnsi="Cambria Math" w:cstheme="majorBidi"/>
                      <w:szCs w:val="22"/>
                    </w:rPr>
                    <m:t>Value</m:t>
                  </m:r>
                </m:e>
                <m:sub>
                  <m:r>
                    <w:rPr>
                      <w:rFonts w:ascii="Cambria Math" w:eastAsiaTheme="minorHAnsi" w:hAnsi="Cambria Math" w:cstheme="majorBidi"/>
                      <w:szCs w:val="22"/>
                    </w:rPr>
                    <m:t>i,t+n</m:t>
                  </m:r>
                </m:sub>
              </m:sSub>
              <m:r>
                <w:rPr>
                  <w:rFonts w:ascii="Cambria Math" w:eastAsiaTheme="minorHAnsi" w:hAnsi="Cambria Math" w:cstheme="majorBidi"/>
                  <w:szCs w:val="22"/>
                </w:rPr>
                <m:t>-Growth</m:t>
              </m:r>
            </m:e>
            <m:sub>
              <m:r>
                <w:rPr>
                  <w:rFonts w:ascii="Cambria Math" w:eastAsiaTheme="minorHAnsi" w:hAnsi="Cambria Math" w:cstheme="majorBidi"/>
                  <w:szCs w:val="22"/>
                </w:rPr>
                <m:t>j,t+n</m:t>
              </m:r>
            </m:sub>
          </m:sSub>
          <m:r>
            <w:rPr>
              <w:rFonts w:ascii="Cambria Math" w:eastAsiaTheme="minorHAnsi" w:hAnsi="Cambria Math" w:cstheme="majorBidi"/>
              <w:szCs w:val="22"/>
            </w:rPr>
            <m:t>) =α+</m:t>
          </m:r>
          <m:sSub>
            <m:sSubPr>
              <m:ctrlPr>
                <w:rPr>
                  <w:rFonts w:ascii="Cambria Math" w:eastAsiaTheme="minorHAnsi" w:hAnsi="Cambria Math" w:cstheme="majorBidi"/>
                  <w:i/>
                  <w:szCs w:val="22"/>
                </w:rPr>
              </m:ctrlPr>
            </m:sSubPr>
            <m:e>
              <m:r>
                <w:rPr>
                  <w:rFonts w:ascii="Cambria Math" w:eastAsiaTheme="minorHAnsi" w:hAnsi="Cambria Math" w:cstheme="majorBidi"/>
                  <w:szCs w:val="22"/>
                </w:rPr>
                <m:t>β</m:t>
              </m:r>
            </m:e>
            <m:sub>
              <m:r>
                <w:rPr>
                  <w:rFonts w:ascii="Cambria Math" w:eastAsiaTheme="minorHAnsi" w:hAnsi="Cambria Math" w:cstheme="majorBidi"/>
                  <w:szCs w:val="22"/>
                </w:rPr>
                <m:t>1</m:t>
              </m:r>
            </m:sub>
          </m:sSub>
          <m:sSub>
            <m:sSubPr>
              <m:ctrlPr>
                <w:rPr>
                  <w:rFonts w:ascii="Cambria Math" w:eastAsiaTheme="minorHAnsi" w:hAnsi="Cambria Math" w:cstheme="majorBidi"/>
                  <w:i/>
                  <w:szCs w:val="22"/>
                </w:rPr>
              </m:ctrlPr>
            </m:sSubPr>
            <m:e>
              <m:r>
                <w:rPr>
                  <w:rFonts w:ascii="Cambria Math" w:eastAsiaTheme="minorHAnsi" w:hAnsi="Cambria Math" w:cstheme="majorBidi"/>
                  <w:szCs w:val="22"/>
                </w:rPr>
                <m:t>VIX</m:t>
              </m:r>
              <m:r>
                <w:rPr>
                  <w:rFonts w:ascii="Cambria Math" w:eastAsiaTheme="minorHAnsi" w:hAnsi="Cambria Math" w:cstheme="majorBidi"/>
                  <w:szCs w:val="22"/>
                </w:rPr>
                <m:t xml:space="preserve"> </m:t>
              </m:r>
              <m:r>
                <w:rPr>
                  <w:rFonts w:ascii="Cambria Math" w:eastAsiaTheme="minorHAnsi" w:hAnsi="Cambria Math" w:cstheme="majorBidi"/>
                  <w:szCs w:val="22"/>
                </w:rPr>
                <m:t>Dev</m:t>
              </m:r>
            </m:e>
            <m:sub>
              <m:r>
                <w:rPr>
                  <w:rFonts w:ascii="Cambria Math" w:eastAsiaTheme="minorHAnsi" w:hAnsi="Cambria Math" w:cstheme="majorBidi"/>
                  <w:szCs w:val="22"/>
                </w:rPr>
                <m:t>t</m:t>
              </m:r>
            </m:sub>
          </m:sSub>
          <m:r>
            <w:rPr>
              <w:rFonts w:ascii="Cambria Math" w:eastAsiaTheme="minorHAnsi" w:hAnsi="Cambria Math" w:cstheme="majorBidi"/>
              <w:szCs w:val="22"/>
            </w:rPr>
            <m:t>+</m:t>
          </m:r>
          <m:sSub>
            <m:sSubPr>
              <m:ctrlPr>
                <w:rPr>
                  <w:rFonts w:ascii="Cambria Math" w:eastAsiaTheme="minorHAnsi" w:hAnsi="Cambria Math" w:cstheme="majorBidi"/>
                  <w:i/>
                  <w:szCs w:val="22"/>
                </w:rPr>
              </m:ctrlPr>
            </m:sSubPr>
            <m:e>
              <m:r>
                <w:rPr>
                  <w:rFonts w:ascii="Cambria Math" w:eastAsiaTheme="minorHAnsi" w:hAnsi="Cambria Math" w:cstheme="majorBidi"/>
                  <w:szCs w:val="22"/>
                </w:rPr>
                <m:t>ε</m:t>
              </m:r>
            </m:e>
            <m:sub>
              <m:r>
                <w:rPr>
                  <w:rFonts w:ascii="Cambria Math" w:eastAsiaTheme="minorHAnsi" w:hAnsi="Cambria Math" w:cstheme="majorBidi"/>
                  <w:szCs w:val="22"/>
                </w:rPr>
                <m:t>i</m:t>
              </m:r>
              <m:r>
                <w:rPr>
                  <w:rFonts w:ascii="Cambria Math" w:eastAsiaTheme="minorHAnsi" w:hAnsi="Cambria Math" w:cstheme="majorBidi"/>
                  <w:szCs w:val="22"/>
                </w:rPr>
                <m:t>j</m:t>
              </m:r>
              <m:r>
                <w:rPr>
                  <w:rFonts w:ascii="Cambria Math" w:eastAsiaTheme="minorHAnsi" w:hAnsi="Cambria Math" w:cstheme="majorBidi"/>
                  <w:szCs w:val="22"/>
                </w:rPr>
                <m:t>,t</m:t>
              </m:r>
            </m:sub>
          </m:sSub>
          <m:r>
            <w:rPr>
              <w:rFonts w:ascii="Cambria Math" w:eastAsiaTheme="minorHAnsi" w:hAnsi="Cambria Math" w:cstheme="majorBidi"/>
              <w:szCs w:val="22"/>
            </w:rPr>
            <m:t xml:space="preserve">   </m:t>
          </m:r>
          <m:r>
            <w:rPr>
              <w:rFonts w:ascii="Cambria Math" w:eastAsiaTheme="minorHAnsi" w:hAnsi="Cambria Math" w:cstheme="majorBidi"/>
              <w:szCs w:val="22"/>
            </w:rPr>
            <m:t xml:space="preserve">                                          (</m:t>
          </m:r>
          <m:r>
            <w:rPr>
              <w:rFonts w:ascii="Cambria Math" w:eastAsiaTheme="minorHAnsi" w:hAnsi="Cambria Math" w:cstheme="majorBidi"/>
              <w:szCs w:val="22"/>
            </w:rPr>
            <m:t>3</m:t>
          </m:r>
          <m:r>
            <w:rPr>
              <w:rFonts w:ascii="Cambria Math" w:eastAsiaTheme="minorHAnsi" w:hAnsi="Cambria Math" w:cstheme="majorBidi"/>
              <w:szCs w:val="22"/>
            </w:rPr>
            <m:t>)</m:t>
          </m:r>
        </m:oMath>
      </m:oMathPara>
    </w:p>
    <w:p w:rsidR="0008790F" w:rsidRPr="00CD51A8" w:rsidRDefault="0008790F" w:rsidP="0008790F">
      <w:pPr>
        <w:spacing w:line="480" w:lineRule="auto"/>
        <w:ind w:left="720" w:firstLine="720"/>
      </w:pPr>
      <m:oMathPara>
        <m:oMath>
          <m:sSub>
            <m:sSubPr>
              <m:ctrlPr>
                <w:rPr>
                  <w:rFonts w:ascii="Cambria Math" w:eastAsiaTheme="minorHAnsi" w:hAnsi="Cambria Math" w:cstheme="majorBidi"/>
                  <w:i/>
                  <w:szCs w:val="22"/>
                </w:rPr>
              </m:ctrlPr>
            </m:sSubPr>
            <m:e>
              <m:r>
                <w:rPr>
                  <w:rFonts w:ascii="Cambria Math" w:eastAsiaTheme="minorHAnsi" w:hAnsi="Cambria Math" w:cstheme="majorBidi"/>
                  <w:szCs w:val="22"/>
                </w:rPr>
                <m:t>RET (</m:t>
              </m:r>
              <m:sSub>
                <m:sSubPr>
                  <m:ctrlPr>
                    <w:rPr>
                      <w:rFonts w:ascii="Cambria Math" w:eastAsiaTheme="minorHAnsi" w:hAnsi="Cambria Math" w:cstheme="majorBidi"/>
                      <w:i/>
                      <w:szCs w:val="22"/>
                    </w:rPr>
                  </m:ctrlPr>
                </m:sSubPr>
                <m:e>
                  <m:r>
                    <w:rPr>
                      <w:rFonts w:ascii="Cambria Math" w:eastAsiaTheme="minorHAnsi" w:hAnsi="Cambria Math" w:cstheme="majorBidi"/>
                      <w:szCs w:val="22"/>
                    </w:rPr>
                    <m:t>Value</m:t>
                  </m:r>
                </m:e>
                <m:sub>
                  <m:r>
                    <w:rPr>
                      <w:rFonts w:ascii="Cambria Math" w:eastAsiaTheme="minorHAnsi" w:hAnsi="Cambria Math" w:cstheme="majorBidi"/>
                      <w:szCs w:val="22"/>
                    </w:rPr>
                    <m:t>i,t+n</m:t>
                  </m:r>
                </m:sub>
              </m:sSub>
              <m:r>
                <w:rPr>
                  <w:rFonts w:ascii="Cambria Math" w:eastAsiaTheme="minorHAnsi" w:hAnsi="Cambria Math" w:cstheme="majorBidi"/>
                  <w:szCs w:val="22"/>
                </w:rPr>
                <m:t>-Growth</m:t>
              </m:r>
            </m:e>
            <m:sub>
              <m:r>
                <w:rPr>
                  <w:rFonts w:ascii="Cambria Math" w:eastAsiaTheme="minorHAnsi" w:hAnsi="Cambria Math" w:cstheme="majorBidi"/>
                  <w:szCs w:val="22"/>
                </w:rPr>
                <m:t>j,t+n</m:t>
              </m:r>
            </m:sub>
          </m:sSub>
          <m:r>
            <w:rPr>
              <w:rFonts w:ascii="Cambria Math" w:eastAsiaTheme="minorHAnsi" w:hAnsi="Cambria Math" w:cstheme="majorBidi"/>
              <w:szCs w:val="22"/>
            </w:rPr>
            <m:t>)</m:t>
          </m:r>
          <m:r>
            <w:rPr>
              <w:rFonts w:ascii="Cambria Math" w:eastAsiaTheme="minorHAnsi" w:hAnsi="Cambria Math" w:cstheme="majorBidi"/>
              <w:szCs w:val="22"/>
            </w:rPr>
            <m:t xml:space="preserve"> =α+</m:t>
          </m:r>
          <m:sSub>
            <m:sSubPr>
              <m:ctrlPr>
                <w:rPr>
                  <w:rFonts w:ascii="Cambria Math" w:eastAsiaTheme="minorHAnsi" w:hAnsi="Cambria Math" w:cstheme="majorBidi"/>
                  <w:i/>
                  <w:szCs w:val="22"/>
                </w:rPr>
              </m:ctrlPr>
            </m:sSubPr>
            <m:e>
              <m:r>
                <w:rPr>
                  <w:rFonts w:ascii="Cambria Math" w:eastAsiaTheme="minorHAnsi" w:hAnsi="Cambria Math" w:cstheme="majorBidi"/>
                  <w:szCs w:val="22"/>
                </w:rPr>
                <m:t>β</m:t>
              </m:r>
            </m:e>
            <m:sub>
              <m:r>
                <w:rPr>
                  <w:rFonts w:ascii="Cambria Math" w:eastAsiaTheme="minorHAnsi" w:hAnsi="Cambria Math" w:cstheme="majorBidi"/>
                  <w:szCs w:val="22"/>
                </w:rPr>
                <m:t>1</m:t>
              </m:r>
            </m:sub>
          </m:sSub>
          <m:sSub>
            <m:sSubPr>
              <m:ctrlPr>
                <w:rPr>
                  <w:rFonts w:ascii="Cambria Math" w:eastAsiaTheme="minorHAnsi" w:hAnsi="Cambria Math" w:cstheme="majorBidi"/>
                  <w:i/>
                  <w:szCs w:val="22"/>
                </w:rPr>
              </m:ctrlPr>
            </m:sSubPr>
            <m:e>
              <m:r>
                <w:rPr>
                  <w:rFonts w:ascii="Cambria Math" w:eastAsiaTheme="minorHAnsi" w:hAnsi="Cambria Math" w:cstheme="majorBidi"/>
                  <w:szCs w:val="22"/>
                </w:rPr>
                <m:t>VIXD</m:t>
              </m:r>
              <m:r>
                <w:rPr>
                  <w:rFonts w:ascii="Cambria Math" w:eastAsiaTheme="minorHAnsi" w:hAnsi="Cambria Math" w:cstheme="majorBidi"/>
                  <w:szCs w:val="22"/>
                </w:rPr>
                <m:t>ev</m:t>
              </m:r>
            </m:e>
            <m:sub>
              <m:r>
                <w:rPr>
                  <w:rFonts w:ascii="Cambria Math" w:eastAsiaTheme="minorHAnsi" w:hAnsi="Cambria Math" w:cstheme="majorBidi"/>
                  <w:szCs w:val="22"/>
                </w:rPr>
                <m:t>t</m:t>
              </m:r>
            </m:sub>
          </m:sSub>
          <m:r>
            <w:rPr>
              <w:rFonts w:ascii="Cambria Math" w:eastAsiaTheme="minorHAnsi" w:hAnsi="Cambria Math" w:cstheme="majorBidi"/>
              <w:szCs w:val="22"/>
            </w:rPr>
            <m:t>+</m:t>
          </m:r>
          <m:sSub>
            <m:sSubPr>
              <m:ctrlPr>
                <w:rPr>
                  <w:rFonts w:ascii="Cambria Math" w:eastAsiaTheme="minorHAnsi" w:hAnsi="Cambria Math" w:cstheme="majorBidi"/>
                  <w:i/>
                  <w:szCs w:val="22"/>
                </w:rPr>
              </m:ctrlPr>
            </m:sSubPr>
            <m:e>
              <m:sSub>
                <m:sSubPr>
                  <m:ctrlPr>
                    <w:rPr>
                      <w:rFonts w:ascii="Cambria Math" w:eastAsiaTheme="minorHAnsi" w:hAnsi="Cambria Math" w:cstheme="majorBidi"/>
                      <w:i/>
                      <w:szCs w:val="22"/>
                    </w:rPr>
                  </m:ctrlPr>
                </m:sSubPr>
                <m:e>
                  <m:r>
                    <w:rPr>
                      <w:rFonts w:ascii="Cambria Math" w:eastAsiaTheme="minorHAnsi" w:hAnsi="Cambria Math" w:cstheme="majorBidi"/>
                      <w:szCs w:val="22"/>
                    </w:rPr>
                    <m:t>β</m:t>
                  </m:r>
                </m:e>
                <m:sub>
                  <m:r>
                    <w:rPr>
                      <w:rFonts w:ascii="Cambria Math" w:eastAsiaTheme="minorHAnsi" w:hAnsi="Cambria Math" w:cstheme="majorBidi"/>
                      <w:szCs w:val="22"/>
                    </w:rPr>
                    <m:t>2</m:t>
                  </m:r>
                </m:sub>
              </m:sSub>
              <m:sSub>
                <m:sSubPr>
                  <m:ctrlPr>
                    <w:rPr>
                      <w:rFonts w:ascii="Cambria Math" w:eastAsiaTheme="minorHAnsi" w:hAnsi="Cambria Math" w:cstheme="majorBidi"/>
                      <w:i/>
                      <w:szCs w:val="22"/>
                    </w:rPr>
                  </m:ctrlPr>
                </m:sSubPr>
                <m:e>
                  <m:r>
                    <w:rPr>
                      <w:rFonts w:ascii="Cambria Math" w:eastAsiaTheme="minorHAnsi" w:hAnsi="Cambria Math" w:cstheme="majorBidi"/>
                      <w:szCs w:val="22"/>
                    </w:rPr>
                    <m:t>VVIXD</m:t>
                  </m:r>
                  <m:r>
                    <w:rPr>
                      <w:rFonts w:ascii="Cambria Math" w:eastAsiaTheme="minorHAnsi" w:hAnsi="Cambria Math" w:cstheme="majorBidi"/>
                      <w:szCs w:val="22"/>
                    </w:rPr>
                    <m:t>ev</m:t>
                  </m:r>
                </m:e>
                <m:sub>
                  <m:r>
                    <w:rPr>
                      <w:rFonts w:ascii="Cambria Math" w:eastAsiaTheme="minorHAnsi" w:hAnsi="Cambria Math" w:cstheme="majorBidi"/>
                      <w:szCs w:val="22"/>
                    </w:rPr>
                    <m:t>t</m:t>
                  </m:r>
                </m:sub>
              </m:sSub>
              <m:r>
                <w:rPr>
                  <w:rFonts w:ascii="Cambria Math" w:eastAsiaTheme="minorHAnsi" w:hAnsi="Cambria Math" w:cstheme="majorBidi"/>
                  <w:szCs w:val="22"/>
                </w:rPr>
                <m:t>+ε</m:t>
              </m:r>
            </m:e>
            <m:sub>
              <m:r>
                <w:rPr>
                  <w:rFonts w:ascii="Cambria Math" w:eastAsiaTheme="minorHAnsi" w:hAnsi="Cambria Math" w:cstheme="majorBidi"/>
                  <w:szCs w:val="22"/>
                </w:rPr>
                <m:t>i</m:t>
              </m:r>
              <m:r>
                <w:rPr>
                  <w:rFonts w:ascii="Cambria Math" w:eastAsiaTheme="minorHAnsi" w:hAnsi="Cambria Math" w:cstheme="majorBidi"/>
                  <w:szCs w:val="22"/>
                </w:rPr>
                <m:t>j</m:t>
              </m:r>
              <m:r>
                <w:rPr>
                  <w:rFonts w:ascii="Cambria Math" w:eastAsiaTheme="minorHAnsi" w:hAnsi="Cambria Math" w:cstheme="majorBidi"/>
                  <w:szCs w:val="22"/>
                </w:rPr>
                <m:t>,t</m:t>
              </m:r>
            </m:sub>
          </m:sSub>
          <m:r>
            <w:rPr>
              <w:rFonts w:ascii="Cambria Math" w:eastAsiaTheme="minorHAnsi" w:hAnsi="Cambria Math" w:cstheme="majorBidi"/>
              <w:szCs w:val="22"/>
            </w:rPr>
            <m:t xml:space="preserve"> </m:t>
          </m:r>
          <m:r>
            <w:rPr>
              <w:rFonts w:ascii="Cambria Math" w:eastAsiaTheme="minorHAnsi" w:hAnsi="Cambria Math" w:cstheme="majorBidi"/>
              <w:szCs w:val="22"/>
            </w:rPr>
            <m:t xml:space="preserve">       </m:t>
          </m:r>
          <m:r>
            <w:rPr>
              <w:rFonts w:ascii="Cambria Math" w:eastAsiaTheme="minorHAnsi" w:hAnsi="Cambria Math" w:cstheme="majorBidi"/>
              <w:szCs w:val="22"/>
            </w:rPr>
            <m:t xml:space="preserve"> </m:t>
          </m:r>
          <m:r>
            <w:rPr>
              <w:rFonts w:ascii="Cambria Math" w:eastAsiaTheme="minorHAnsi" w:hAnsi="Cambria Math" w:cstheme="majorBidi"/>
              <w:szCs w:val="22"/>
            </w:rPr>
            <m:t xml:space="preserve">       </m:t>
          </m:r>
          <m:r>
            <w:rPr>
              <w:rFonts w:ascii="Cambria Math" w:eastAsiaTheme="minorHAnsi" w:hAnsi="Cambria Math" w:cstheme="majorBidi"/>
              <w:szCs w:val="22"/>
            </w:rPr>
            <m:t>(4)</m:t>
          </m:r>
        </m:oMath>
      </m:oMathPara>
    </w:p>
    <w:p w:rsidR="0008790F" w:rsidRDefault="0008790F" w:rsidP="0008790F">
      <w:pPr>
        <w:spacing w:line="480" w:lineRule="auto"/>
      </w:pPr>
      <w:r>
        <w:t xml:space="preserve">In these specifications the percent deviations from </w:t>
      </w:r>
      <w:r w:rsidR="004053BB">
        <w:t>the variables’ seventy-five day</w:t>
      </w:r>
      <w:r>
        <w:t xml:space="preserve"> moving averages are represented by :</w:t>
      </w:r>
      <w:r>
        <w:tab/>
      </w:r>
    </w:p>
    <w:p w:rsidR="0008790F" w:rsidRPr="00CD51A8" w:rsidRDefault="0008790F" w:rsidP="0008790F">
      <w:pPr>
        <w:spacing w:line="480" w:lineRule="auto"/>
        <w:ind w:left="720"/>
        <w:rPr>
          <w:szCs w:val="22"/>
        </w:rPr>
      </w:pPr>
      <m:oMath>
        <m:f>
          <m:fPr>
            <m:type m:val="skw"/>
            <m:ctrlPr>
              <w:rPr>
                <w:rFonts w:ascii="Cambria Math" w:eastAsiaTheme="minorHAnsi" w:hAnsi="Cambria Math" w:cstheme="majorBidi"/>
                <w:i/>
                <w:szCs w:val="22"/>
              </w:rPr>
            </m:ctrlPr>
          </m:fPr>
          <m:num>
            <m:sSub>
              <m:sSubPr>
                <m:ctrlPr>
                  <w:rPr>
                    <w:rFonts w:ascii="Cambria Math" w:eastAsiaTheme="minorHAnsi" w:hAnsi="Cambria Math" w:cstheme="majorBidi"/>
                    <w:i/>
                    <w:szCs w:val="22"/>
                  </w:rPr>
                </m:ctrlPr>
              </m:sSubPr>
              <m:e>
                <m:r>
                  <w:rPr>
                    <w:rFonts w:ascii="Cambria Math" w:eastAsiaTheme="minorHAnsi" w:hAnsi="Cambria Math" w:cstheme="majorBidi"/>
                    <w:szCs w:val="22"/>
                  </w:rPr>
                  <m:t>VIX</m:t>
                </m:r>
                <m:r>
                  <w:rPr>
                    <w:rFonts w:ascii="Cambria Math" w:eastAsiaTheme="minorHAnsi" w:hAnsi="Cambria Math" w:cstheme="majorBidi"/>
                    <w:szCs w:val="22"/>
                  </w:rPr>
                  <m:t>Dev</m:t>
                </m:r>
              </m:e>
              <m:sub>
                <m:r>
                  <w:rPr>
                    <w:rFonts w:ascii="Cambria Math" w:eastAsiaTheme="minorHAnsi" w:hAnsi="Cambria Math" w:cstheme="majorBidi"/>
                    <w:szCs w:val="22"/>
                  </w:rPr>
                  <m:t>t</m:t>
                </m:r>
              </m:sub>
            </m:sSub>
            <m:r>
              <w:rPr>
                <w:rFonts w:ascii="Cambria Math" w:eastAsiaTheme="minorHAnsi" w:hAnsi="Cambria Math" w:cstheme="majorBidi"/>
                <w:szCs w:val="22"/>
              </w:rPr>
              <m:t>=</m:t>
            </m:r>
            <m:sSub>
              <m:sSubPr>
                <m:ctrlPr>
                  <w:rPr>
                    <w:rFonts w:ascii="Cambria Math" w:eastAsiaTheme="minorHAnsi" w:hAnsi="Cambria Math" w:cstheme="majorBidi"/>
                    <w:i/>
                    <w:szCs w:val="22"/>
                  </w:rPr>
                </m:ctrlPr>
              </m:sSubPr>
              <m:e>
                <m:r>
                  <w:rPr>
                    <w:rFonts w:ascii="Cambria Math" w:eastAsiaTheme="minorHAnsi" w:hAnsi="Cambria Math" w:cstheme="majorBidi"/>
                    <w:szCs w:val="22"/>
                  </w:rPr>
                  <m:t>(</m:t>
                </m:r>
                <m:r>
                  <w:rPr>
                    <w:rFonts w:ascii="Cambria Math" w:eastAsiaTheme="minorHAnsi" w:hAnsi="Cambria Math" w:cstheme="majorBidi"/>
                    <w:szCs w:val="22"/>
                  </w:rPr>
                  <m:t>VIX</m:t>
                </m:r>
              </m:e>
              <m:sub>
                <m:r>
                  <w:rPr>
                    <w:rFonts w:ascii="Cambria Math" w:eastAsiaTheme="minorHAnsi" w:hAnsi="Cambria Math" w:cstheme="majorBidi"/>
                    <w:szCs w:val="22"/>
                  </w:rPr>
                  <m:t>t</m:t>
                </m:r>
              </m:sub>
            </m:sSub>
            <m:r>
              <w:rPr>
                <w:rFonts w:ascii="Cambria Math" w:eastAsiaTheme="minorHAnsi" w:hAnsi="Cambria Math" w:cstheme="majorBidi"/>
                <w:szCs w:val="22"/>
              </w:rPr>
              <m:t xml:space="preserve">- </m:t>
            </m:r>
            <m:sSub>
              <m:sSubPr>
                <m:ctrlPr>
                  <w:rPr>
                    <w:rFonts w:ascii="Cambria Math" w:eastAsiaTheme="minorHAnsi" w:hAnsi="Cambria Math" w:cstheme="majorBidi"/>
                    <w:i/>
                    <w:szCs w:val="22"/>
                  </w:rPr>
                </m:ctrlPr>
              </m:sSubPr>
              <m:e>
                <m:r>
                  <w:rPr>
                    <w:rFonts w:ascii="Cambria Math" w:eastAsiaTheme="minorHAnsi" w:hAnsi="Cambria Math" w:cstheme="majorBidi"/>
                    <w:szCs w:val="22"/>
                  </w:rPr>
                  <m:t>VIXMA</m:t>
                </m:r>
              </m:e>
              <m:sub>
                <m:r>
                  <w:rPr>
                    <w:rFonts w:ascii="Cambria Math" w:eastAsiaTheme="minorHAnsi" w:hAnsi="Cambria Math" w:cstheme="majorBidi"/>
                    <w:szCs w:val="22"/>
                  </w:rPr>
                  <m:t>t</m:t>
                </m:r>
              </m:sub>
            </m:sSub>
            <m:r>
              <w:rPr>
                <w:rFonts w:ascii="Cambria Math" w:eastAsiaTheme="minorHAnsi" w:hAnsi="Cambria Math" w:cstheme="majorBidi"/>
                <w:szCs w:val="22"/>
              </w:rPr>
              <m:t>)</m:t>
            </m:r>
          </m:num>
          <m:den>
            <m:sSub>
              <m:sSubPr>
                <m:ctrlPr>
                  <w:rPr>
                    <w:rFonts w:ascii="Cambria Math" w:eastAsiaTheme="minorHAnsi" w:hAnsi="Cambria Math" w:cstheme="majorBidi"/>
                    <w:i/>
                    <w:szCs w:val="22"/>
                  </w:rPr>
                </m:ctrlPr>
              </m:sSubPr>
              <m:e>
                <m:r>
                  <w:rPr>
                    <w:rFonts w:ascii="Cambria Math" w:eastAsiaTheme="minorHAnsi" w:hAnsi="Cambria Math" w:cstheme="majorBidi"/>
                    <w:szCs w:val="22"/>
                  </w:rPr>
                  <m:t>VIXMA</m:t>
                </m:r>
              </m:e>
              <m:sub>
                <m:r>
                  <w:rPr>
                    <w:rFonts w:ascii="Cambria Math" w:eastAsiaTheme="minorHAnsi" w:hAnsi="Cambria Math" w:cstheme="majorBidi"/>
                    <w:szCs w:val="22"/>
                  </w:rPr>
                  <m:t>t</m:t>
                </m:r>
              </m:sub>
            </m:sSub>
          </m:den>
        </m:f>
        <m:r>
          <w:rPr>
            <w:rFonts w:ascii="Cambria Math" w:eastAsiaTheme="minorHAnsi" w:hAnsi="Cambria Math" w:cstheme="majorBidi"/>
            <w:szCs w:val="22"/>
          </w:rPr>
          <m:t xml:space="preserve">                                                                                 (5)</m:t>
        </m:r>
      </m:oMath>
      <w:r>
        <w:rPr>
          <w:szCs w:val="22"/>
        </w:rPr>
        <w:t xml:space="preserve"> </w:t>
      </w:r>
      <m:oMath>
        <m:f>
          <m:fPr>
            <m:type m:val="skw"/>
            <m:ctrlPr>
              <w:rPr>
                <w:rFonts w:ascii="Cambria Math" w:eastAsiaTheme="minorHAnsi" w:hAnsi="Cambria Math" w:cstheme="majorBidi"/>
                <w:i/>
                <w:szCs w:val="22"/>
              </w:rPr>
            </m:ctrlPr>
          </m:fPr>
          <m:num>
            <m:sSub>
              <m:sSubPr>
                <m:ctrlPr>
                  <w:rPr>
                    <w:rFonts w:ascii="Cambria Math" w:eastAsiaTheme="minorHAnsi" w:hAnsi="Cambria Math" w:cstheme="majorBidi"/>
                    <w:i/>
                    <w:szCs w:val="22"/>
                  </w:rPr>
                </m:ctrlPr>
              </m:sSubPr>
              <m:e>
                <m:r>
                  <w:rPr>
                    <w:rFonts w:ascii="Cambria Math" w:eastAsiaTheme="minorHAnsi" w:hAnsi="Cambria Math" w:cstheme="majorBidi"/>
                    <w:szCs w:val="22"/>
                  </w:rPr>
                  <m:t>VVIX</m:t>
                </m:r>
                <m:r>
                  <w:rPr>
                    <w:rFonts w:ascii="Cambria Math" w:eastAsiaTheme="minorHAnsi" w:hAnsi="Cambria Math" w:cstheme="majorBidi"/>
                    <w:szCs w:val="22"/>
                  </w:rPr>
                  <m:t>Dev</m:t>
                </m:r>
              </m:e>
              <m:sub>
                <m:r>
                  <w:rPr>
                    <w:rFonts w:ascii="Cambria Math" w:eastAsiaTheme="minorHAnsi" w:hAnsi="Cambria Math" w:cstheme="majorBidi"/>
                    <w:szCs w:val="22"/>
                  </w:rPr>
                  <m:t>t</m:t>
                </m:r>
              </m:sub>
            </m:sSub>
            <m:r>
              <w:rPr>
                <w:rFonts w:ascii="Cambria Math" w:eastAsiaTheme="minorHAnsi" w:hAnsi="Cambria Math" w:cstheme="majorBidi"/>
                <w:szCs w:val="22"/>
              </w:rPr>
              <m:t>=</m:t>
            </m:r>
            <m:sSub>
              <m:sSubPr>
                <m:ctrlPr>
                  <w:rPr>
                    <w:rFonts w:ascii="Cambria Math" w:eastAsiaTheme="minorHAnsi" w:hAnsi="Cambria Math" w:cstheme="majorBidi"/>
                    <w:i/>
                    <w:szCs w:val="22"/>
                  </w:rPr>
                </m:ctrlPr>
              </m:sSubPr>
              <m:e>
                <m:r>
                  <w:rPr>
                    <w:rFonts w:ascii="Cambria Math" w:eastAsiaTheme="minorHAnsi" w:hAnsi="Cambria Math" w:cstheme="majorBidi"/>
                    <w:szCs w:val="22"/>
                  </w:rPr>
                  <m:t>(V</m:t>
                </m:r>
                <m:r>
                  <w:rPr>
                    <w:rFonts w:ascii="Cambria Math" w:eastAsiaTheme="minorHAnsi" w:hAnsi="Cambria Math" w:cstheme="majorBidi"/>
                    <w:szCs w:val="22"/>
                  </w:rPr>
                  <m:t>VIX</m:t>
                </m:r>
              </m:e>
              <m:sub>
                <m:r>
                  <w:rPr>
                    <w:rFonts w:ascii="Cambria Math" w:eastAsiaTheme="minorHAnsi" w:hAnsi="Cambria Math" w:cstheme="majorBidi"/>
                    <w:szCs w:val="22"/>
                  </w:rPr>
                  <m:t>t</m:t>
                </m:r>
              </m:sub>
            </m:sSub>
            <m:r>
              <w:rPr>
                <w:rFonts w:ascii="Cambria Math" w:eastAsiaTheme="minorHAnsi" w:hAnsi="Cambria Math" w:cstheme="majorBidi"/>
                <w:szCs w:val="22"/>
              </w:rPr>
              <m:t>- V</m:t>
            </m:r>
            <m:sSub>
              <m:sSubPr>
                <m:ctrlPr>
                  <w:rPr>
                    <w:rFonts w:ascii="Cambria Math" w:eastAsiaTheme="minorHAnsi" w:hAnsi="Cambria Math" w:cstheme="majorBidi"/>
                    <w:i/>
                    <w:szCs w:val="22"/>
                  </w:rPr>
                </m:ctrlPr>
              </m:sSubPr>
              <m:e>
                <m:r>
                  <w:rPr>
                    <w:rFonts w:ascii="Cambria Math" w:eastAsiaTheme="minorHAnsi" w:hAnsi="Cambria Math" w:cstheme="majorBidi"/>
                    <w:szCs w:val="22"/>
                  </w:rPr>
                  <m:t>VIXMA</m:t>
                </m:r>
              </m:e>
              <m:sub>
                <m:r>
                  <w:rPr>
                    <w:rFonts w:ascii="Cambria Math" w:eastAsiaTheme="minorHAnsi" w:hAnsi="Cambria Math" w:cstheme="majorBidi"/>
                    <w:szCs w:val="22"/>
                  </w:rPr>
                  <m:t>t</m:t>
                </m:r>
              </m:sub>
            </m:sSub>
            <m:r>
              <w:rPr>
                <w:rFonts w:ascii="Cambria Math" w:eastAsiaTheme="minorHAnsi" w:hAnsi="Cambria Math" w:cstheme="majorBidi"/>
                <w:szCs w:val="22"/>
              </w:rPr>
              <m:t>)</m:t>
            </m:r>
          </m:num>
          <m:den>
            <m:r>
              <w:rPr>
                <w:rFonts w:ascii="Cambria Math" w:eastAsiaTheme="minorHAnsi" w:hAnsi="Cambria Math" w:cstheme="majorBidi"/>
                <w:szCs w:val="22"/>
              </w:rPr>
              <m:t>V</m:t>
            </m:r>
            <m:sSub>
              <m:sSubPr>
                <m:ctrlPr>
                  <w:rPr>
                    <w:rFonts w:ascii="Cambria Math" w:eastAsiaTheme="minorHAnsi" w:hAnsi="Cambria Math" w:cstheme="majorBidi"/>
                    <w:i/>
                    <w:szCs w:val="22"/>
                  </w:rPr>
                </m:ctrlPr>
              </m:sSubPr>
              <m:e>
                <m:r>
                  <w:rPr>
                    <w:rFonts w:ascii="Cambria Math" w:eastAsiaTheme="minorHAnsi" w:hAnsi="Cambria Math" w:cstheme="majorBidi"/>
                    <w:szCs w:val="22"/>
                  </w:rPr>
                  <m:t>VIXMA</m:t>
                </m:r>
              </m:e>
              <m:sub>
                <m:r>
                  <w:rPr>
                    <w:rFonts w:ascii="Cambria Math" w:eastAsiaTheme="minorHAnsi" w:hAnsi="Cambria Math" w:cstheme="majorBidi"/>
                    <w:szCs w:val="22"/>
                  </w:rPr>
                  <m:t>t</m:t>
                </m:r>
              </m:sub>
            </m:sSub>
          </m:den>
        </m:f>
        <m:r>
          <w:rPr>
            <w:rFonts w:ascii="Cambria Math" w:hAnsi="Cambria Math"/>
            <w:szCs w:val="22"/>
          </w:rPr>
          <m:t xml:space="preserve">                                                                     (6)</m:t>
        </m:r>
      </m:oMath>
    </w:p>
    <w:p w:rsidR="0008790F" w:rsidRDefault="0008790F" w:rsidP="0008790F">
      <w:pPr>
        <w:spacing w:line="480" w:lineRule="auto"/>
        <w:ind w:firstLine="720"/>
      </w:pPr>
      <w:r>
        <w:t xml:space="preserve">Based on the results of these equations, we follow Copeland and Copeland (1999) and Boscaljon et. al. (2011) to simulate trading strategies that capitalize on the results of </w:t>
      </w:r>
      <w:r w:rsidR="002246BE">
        <w:t xml:space="preserve">these estimations by going long or </w:t>
      </w:r>
      <w:r>
        <w:t xml:space="preserve">short the appropriate value </w:t>
      </w:r>
      <w:r w:rsidR="002246BE">
        <w:t>and</w:t>
      </w:r>
      <w:r>
        <w:t xml:space="preserve"> growth ETF</w:t>
      </w:r>
      <w:r w:rsidR="002246BE">
        <w:t>s</w:t>
      </w:r>
      <w:r>
        <w:t xml:space="preserve"> based on the trading strategy suggested by these equations </w:t>
      </w:r>
      <w:r w:rsidR="001D7A5C">
        <w:t>over various</w:t>
      </w:r>
      <w:r>
        <w:t xml:space="preserve"> return horizons.  </w:t>
      </w:r>
    </w:p>
    <w:p w:rsidR="009B1A22" w:rsidRDefault="009B1A22" w:rsidP="00D17C68">
      <w:pPr>
        <w:spacing w:line="480" w:lineRule="auto"/>
        <w:rPr>
          <w:b/>
        </w:rPr>
      </w:pPr>
    </w:p>
    <w:p w:rsidR="001B25F9" w:rsidRDefault="001B25F9" w:rsidP="00D17C68">
      <w:pPr>
        <w:spacing w:line="480" w:lineRule="auto"/>
        <w:rPr>
          <w:b/>
        </w:rPr>
      </w:pPr>
      <w:r>
        <w:rPr>
          <w:b/>
        </w:rPr>
        <w:t>3.  Empirical Results</w:t>
      </w:r>
    </w:p>
    <w:p w:rsidR="0008790F" w:rsidRDefault="009B1A22" w:rsidP="0008790F">
      <w:pPr>
        <w:spacing w:line="480" w:lineRule="auto"/>
      </w:pPr>
      <w:r>
        <w:rPr>
          <w:b/>
        </w:rPr>
        <w:tab/>
      </w:r>
      <w:r w:rsidR="0008790F" w:rsidRPr="009B1A22">
        <w:t>The</w:t>
      </w:r>
      <w:r w:rsidR="0008790F">
        <w:t xml:space="preserve"> results of the estimation of Equation (1)</w:t>
      </w:r>
      <w:r w:rsidR="0008790F" w:rsidRPr="009B1A22">
        <w:t xml:space="preserve"> </w:t>
      </w:r>
      <w:r w:rsidR="0008790F">
        <w:t>that examine the returns to value from one-day changes in the VIX relative to the large-</w:t>
      </w:r>
      <w:r w:rsidR="0008790F" w:rsidRPr="009B1A22">
        <w:t>cap</w:t>
      </w:r>
      <w:r w:rsidR="0008790F">
        <w:t xml:space="preserve"> ETFs, in parallel to the earlier estimations of Copeland and Copeland (1999) and Boscaljon et. al. (2011), are presented in Panel A of Table 4.  It is clear that the positive returns to value are no longer observable for these highly liquid and efficient liquid ETFs.  None of the coefficients for returns to value from the VIX index are statistically significant, so it seems that the “returns to value” strategy presented in these previous papers are not profitable with these highly efficient ETFs.</w:t>
      </w:r>
    </w:p>
    <w:p w:rsidR="0008790F" w:rsidRDefault="0008790F" w:rsidP="0008790F">
      <w:pPr>
        <w:spacing w:line="480" w:lineRule="auto"/>
        <w:ind w:firstLine="720"/>
      </w:pPr>
      <w:r>
        <w:t xml:space="preserve">Thus, in an attempt to further explore the returns to value from ambiguity, in Panel B we include the VVIX index as a potentially further explanatory independent variable in the estimations of Equation 2, where we find some indication of the potential returns to value from volatility in conjunction with ambiguity.  The results for the five- to twenty-day returns to value are positive for changes in the VIX index (volatility) and negative for changes in the VVIX index (ambiguity).  Thus over the very short term, investors are rewarded for investing in value stocks when volatility is high relative to its trailing moving average.  However, the short-term returns to </w:t>
      </w:r>
      <w:r>
        <w:lastRenderedPageBreak/>
        <w:t xml:space="preserve">value from historical deviations in ambiguity, or uncertainty about the future return distribution, are negative, which is consistent with the recent </w:t>
      </w:r>
      <w:r w:rsidR="0062206A">
        <w:t xml:space="preserve">empirical </w:t>
      </w:r>
      <w:r>
        <w:t xml:space="preserve">results of Brenner and Izhazian (2012) and Baltussen et. al. (2014).  </w:t>
      </w:r>
      <w:r w:rsidR="00997A3B" w:rsidRPr="00280786">
        <w:t>But these results are relatively weak since only six of eighteen coefficients are significant at the five or ten percent level, and do not provide strong impetus to examine trading strategies that may capitalize on these relationships.</w:t>
      </w:r>
      <w:r w:rsidR="00510B51">
        <w:t xml:space="preserve">  In unreported results, we also conduct the same analysis for the mid-cap and small-cap ETF pairs, with largely insignificant results.  Although the direction of the coefficient signs are generally similar to the large-cap pair results in Table 4, only one of thirty-six coefficients is significant at the five percent level.  </w:t>
      </w:r>
      <w:r w:rsidR="00997A3B">
        <w:t xml:space="preserve">  </w:t>
      </w:r>
    </w:p>
    <w:p w:rsidR="009B1A22" w:rsidRPr="009B1A22" w:rsidRDefault="006305B0" w:rsidP="0008790F">
      <w:pPr>
        <w:spacing w:line="480" w:lineRule="auto"/>
        <w:ind w:firstLine="720"/>
      </w:pPr>
      <w:r>
        <w:t xml:space="preserve">Given the inconclusive nature of these results, we undertake a potentially deeper and more sophisticated analysis of the data as we examine deviations from each variable’s seventy-five moving average (as suggested by the trading strategies of Copeland and Copeland (1999)) to determine whether or not investors may observe deviations from their mean-reverting levels to construct potentially profitable trading strategies.  </w:t>
      </w:r>
      <w:r w:rsidR="009B1A22" w:rsidRPr="009B1A22">
        <w:t>The</w:t>
      </w:r>
      <w:r w:rsidR="009B1A22">
        <w:t xml:space="preserve"> results of the estimations of E</w:t>
      </w:r>
      <w:r>
        <w:t>quations (3) and (4</w:t>
      </w:r>
      <w:r w:rsidR="009B1A22" w:rsidRPr="009B1A22">
        <w:t>) for large cap</w:t>
      </w:r>
      <w:r w:rsidR="005C5824">
        <w:t xml:space="preserve"> stocks are presented in Table </w:t>
      </w:r>
      <w:r>
        <w:t>5</w:t>
      </w:r>
      <w:r w:rsidR="009B1A22" w:rsidRPr="009B1A22">
        <w:t xml:space="preserve">.  In Panel A, the results indicate that the initial results of Copeland and Copeland (1999) that are attenuated in Boscaljon et. al. (2011) for </w:t>
      </w:r>
      <w:r w:rsidR="0083583D">
        <w:t xml:space="preserve">MSCI </w:t>
      </w:r>
      <w:r w:rsidR="009B1A22" w:rsidRPr="009B1A22">
        <w:t xml:space="preserve">BARRA portfolios are still present for value and growth ETFs.  </w:t>
      </w:r>
      <w:r w:rsidR="00FF74E5">
        <w:t xml:space="preserve">They </w:t>
      </w:r>
      <w:r w:rsidR="00E164C3">
        <w:t>observe these effects for periods of thirty days and longer</w:t>
      </w:r>
      <w:r w:rsidR="0095000A">
        <w:t>, while we report similar results for the ETFs over twenty day and greater forecast periods</w:t>
      </w:r>
      <w:r w:rsidR="00E164C3">
        <w:t xml:space="preserve">.  </w:t>
      </w:r>
      <w:r w:rsidR="006706C6">
        <w:t xml:space="preserve">There </w:t>
      </w:r>
      <w:r w:rsidR="009B1A22" w:rsidRPr="009B1A22">
        <w:t>is</w:t>
      </w:r>
      <w:r w:rsidR="006706C6">
        <w:t xml:space="preserve"> still</w:t>
      </w:r>
      <w:r w:rsidR="009B1A22" w:rsidRPr="009B1A22">
        <w:t xml:space="preserve"> a positive return to value in high volatility environments over return horizons of twenty days or longer, although the results are insignificant over shorter time</w:t>
      </w:r>
      <w:r w:rsidR="001D7A5C">
        <w:t xml:space="preserve"> </w:t>
      </w:r>
      <w:r w:rsidR="009B1A22" w:rsidRPr="009B1A22">
        <w:t>frames</w:t>
      </w:r>
      <w:r w:rsidR="00D874AD">
        <w:t xml:space="preserve">, </w:t>
      </w:r>
      <w:r w:rsidR="0083583D">
        <w:t>consistent with their results</w:t>
      </w:r>
      <w:r w:rsidR="009B1A22" w:rsidRPr="009B1A22">
        <w:t>.  In addition, the explanatory power of these models</w:t>
      </w:r>
      <w:r w:rsidR="00E164C3">
        <w:t xml:space="preserve"> increases with the time horizon</w:t>
      </w:r>
      <w:r w:rsidR="009B1A22">
        <w:t xml:space="preserve">, as measured by </w:t>
      </w:r>
      <w:r w:rsidR="003332FB">
        <w:t xml:space="preserve">the VIX </w:t>
      </w:r>
      <w:r w:rsidR="00E164C3">
        <w:t xml:space="preserve">coefficient </w:t>
      </w:r>
      <w:r w:rsidR="009B1A22">
        <w:t xml:space="preserve">t-statistics and the </w:t>
      </w:r>
      <w:r w:rsidR="003332FB">
        <w:t xml:space="preserve">monotonically increasing </w:t>
      </w:r>
      <w:r w:rsidR="009B1A22">
        <w:t>values of R-squared</w:t>
      </w:r>
      <w:r w:rsidR="009B1A22" w:rsidRPr="009B1A22">
        <w:t>.</w:t>
      </w:r>
      <w:r w:rsidR="003332FB">
        <w:t xml:space="preserve">  </w:t>
      </w:r>
      <w:r w:rsidR="003217BB">
        <w:t xml:space="preserve">For instance a one percent increase in the </w:t>
      </w:r>
      <w:r w:rsidR="002246BE">
        <w:lastRenderedPageBreak/>
        <w:t xml:space="preserve">deviation in the </w:t>
      </w:r>
      <w:r w:rsidR="003217BB">
        <w:t>VIX index</w:t>
      </w:r>
      <w:r w:rsidR="002246BE">
        <w:t xml:space="preserve"> from its moving average</w:t>
      </w:r>
      <w:r w:rsidR="003217BB">
        <w:t xml:space="preserve"> leads to a return of 1.19 percent over the next thirty days, but the same percentage increase in the VIX leads to a 3.45 percent increase over the following sixty days.  </w:t>
      </w:r>
      <w:r w:rsidR="003332FB">
        <w:t>Thus it seems the initial results of a positive return to value indicated by the VIX index originally documented in Copeland and Copeland (1999)</w:t>
      </w:r>
      <w:r w:rsidR="00E164C3">
        <w:t xml:space="preserve"> and confirmed over longer time frames by Boscaljon et. al. (2011)</w:t>
      </w:r>
      <w:r w:rsidR="003332FB">
        <w:t xml:space="preserve"> is still present for the heavily traded ETFs that we examine. </w:t>
      </w:r>
    </w:p>
    <w:p w:rsidR="00707554" w:rsidRDefault="006305B0" w:rsidP="00D17C68">
      <w:pPr>
        <w:spacing w:line="480" w:lineRule="auto"/>
        <w:ind w:firstLine="720"/>
      </w:pPr>
      <w:r>
        <w:t>However, the most important result</w:t>
      </w:r>
      <w:r w:rsidR="00510B51">
        <w:t>s</w:t>
      </w:r>
      <w:r>
        <w:t xml:space="preserve"> of our study are contained in Panel B of Table 5.  Here we find </w:t>
      </w:r>
      <w:r w:rsidRPr="009B1A22">
        <w:t xml:space="preserve">the initial results of Copeland and Copeland (1999) that are attenuated in Boscaljon et. al. (2011) for </w:t>
      </w:r>
      <w:r>
        <w:t xml:space="preserve">MSCI </w:t>
      </w:r>
      <w:r w:rsidRPr="009B1A22">
        <w:t>BARRA portfolios are still present for value and growth ETFs</w:t>
      </w:r>
      <w:r>
        <w:t xml:space="preserve">, </w:t>
      </w:r>
      <w:r w:rsidRPr="009B1A22">
        <w:t xml:space="preserve">.  </w:t>
      </w:r>
      <w:r>
        <w:t>F</w:t>
      </w:r>
      <w:r w:rsidR="009B1A22" w:rsidRPr="009B1A22">
        <w:t xml:space="preserve">urther insight </w:t>
      </w:r>
      <w:r>
        <w:t xml:space="preserve">is provided when </w:t>
      </w:r>
      <w:r w:rsidR="009B1A22" w:rsidRPr="009B1A22">
        <w:t>we include VVIX as an explanatory variable</w:t>
      </w:r>
      <w:r w:rsidR="00E164C3">
        <w:t xml:space="preserve"> </w:t>
      </w:r>
      <w:r w:rsidR="003217BB">
        <w:t>to</w:t>
      </w:r>
      <w:r w:rsidR="00E164C3">
        <w:t xml:space="preserve"> proxy for ambiguity</w:t>
      </w:r>
      <w:r w:rsidR="0083583D">
        <w:t xml:space="preserve"> that enhances the results</w:t>
      </w:r>
      <w:r w:rsidR="00E164C3">
        <w:t>.  T</w:t>
      </w:r>
      <w:r w:rsidR="00D703A0">
        <w:t>he results are illuminating</w:t>
      </w:r>
      <w:r w:rsidR="00E164C3">
        <w:t xml:space="preserve"> since o</w:t>
      </w:r>
      <w:r w:rsidR="00D703A0">
        <w:t>ver the very short-term (time horizon</w:t>
      </w:r>
      <w:r w:rsidR="00CD66D4">
        <w:t>s</w:t>
      </w:r>
      <w:r w:rsidR="00D703A0">
        <w:t xml:space="preserve"> of 10 days or less), the returns to value</w:t>
      </w:r>
      <w:r w:rsidR="003217BB">
        <w:t xml:space="preserve"> from the VIX index</w:t>
      </w:r>
      <w:r w:rsidR="00D703A0">
        <w:t xml:space="preserve"> are actually</w:t>
      </w:r>
      <w:r w:rsidR="00904E2C">
        <w:t xml:space="preserve"> significantly</w:t>
      </w:r>
      <w:r w:rsidR="00D703A0">
        <w:t xml:space="preserve"> </w:t>
      </w:r>
      <w:r w:rsidR="00D703A0" w:rsidRPr="00E164C3">
        <w:rPr>
          <w:i/>
        </w:rPr>
        <w:t>negative</w:t>
      </w:r>
      <w:r w:rsidR="00D703A0">
        <w:t xml:space="preserve"> while the returns to ambiguity are </w:t>
      </w:r>
      <w:r w:rsidR="00D703A0" w:rsidRPr="00E164C3">
        <w:rPr>
          <w:i/>
        </w:rPr>
        <w:t>positive</w:t>
      </w:r>
      <w:r w:rsidR="00CD66D4" w:rsidRPr="00E164C3">
        <w:rPr>
          <w:i/>
        </w:rPr>
        <w:t xml:space="preserve"> </w:t>
      </w:r>
      <w:r w:rsidR="00CD66D4">
        <w:t>and statistically significant</w:t>
      </w:r>
      <w:r w:rsidR="006706C6">
        <w:t xml:space="preserve"> at the one percent level, with </w:t>
      </w:r>
      <w:r w:rsidR="002A0755">
        <w:t xml:space="preserve">just </w:t>
      </w:r>
      <w:r w:rsidR="006706C6">
        <w:t>one exception</w:t>
      </w:r>
      <w:r w:rsidR="00CD66D4">
        <w:t>.</w:t>
      </w:r>
      <w:r w:rsidR="00707554">
        <w:t xml:space="preserve"> </w:t>
      </w:r>
      <w:r w:rsidR="006706C6">
        <w:t xml:space="preserve"> </w:t>
      </w:r>
      <w:r w:rsidR="00707554">
        <w:t>O</w:t>
      </w:r>
      <w:r w:rsidR="006706C6">
        <w:t>nce again the coefficient values increase with the length of the return horizon</w:t>
      </w:r>
      <w:r w:rsidR="00707554">
        <w:t>, and the adjusted R-squared values are all greater for the specification that includes both independent variables such that the VVIX index provides additional explanatory power</w:t>
      </w:r>
      <w:r w:rsidR="006706C6">
        <w:t>.</w:t>
      </w:r>
      <w:r w:rsidR="00CD66D4">
        <w:t xml:space="preserve">  </w:t>
      </w:r>
    </w:p>
    <w:p w:rsidR="003217BB" w:rsidRDefault="00E974E1" w:rsidP="00D17C68">
      <w:pPr>
        <w:spacing w:line="480" w:lineRule="auto"/>
        <w:ind w:firstLine="720"/>
      </w:pPr>
      <w:r>
        <w:t>O</w:t>
      </w:r>
      <w:r w:rsidR="00CD66D4">
        <w:t>ver the longer term (greater than twenty days), this ambiguity is resolved in the marketplace and the returns to value from ambiguity become negative</w:t>
      </w:r>
      <w:r>
        <w:t xml:space="preserve"> as </w:t>
      </w:r>
      <w:r w:rsidR="00510B51">
        <w:t>in earlier studies (e.g. Brenner and Izhakian (2012) and Baltussen et. al. (2014))</w:t>
      </w:r>
      <w:r w:rsidR="00CD66D4">
        <w:t>.  Conversely, the returns to volatility become positive</w:t>
      </w:r>
      <w:r w:rsidR="00510B51">
        <w:t xml:space="preserve"> over longer time frames</w:t>
      </w:r>
      <w:r w:rsidR="00CD66D4">
        <w:t>, confirming a positive relationship between risk and expected returns</w:t>
      </w:r>
      <w:r w:rsidR="0095000A">
        <w:t xml:space="preserve"> from value</w:t>
      </w:r>
      <w:r w:rsidR="00CD66D4">
        <w:t xml:space="preserve"> that is </w:t>
      </w:r>
      <w:r w:rsidR="003217BB">
        <w:t xml:space="preserve">consistent with </w:t>
      </w:r>
      <w:r w:rsidR="00CD66D4">
        <w:t xml:space="preserve">the finance literature.  </w:t>
      </w:r>
      <w:r w:rsidR="00707554">
        <w:t xml:space="preserve">As with the VIX-only results, the absolute coefficient values increase with the time horizon for both VIX and VVIX </w:t>
      </w:r>
      <w:r w:rsidR="00707554">
        <w:lastRenderedPageBreak/>
        <w:t xml:space="preserve">such that the returns to value are significantly higher over longer time frames.  </w:t>
      </w:r>
      <w:r w:rsidR="003217BB">
        <w:t>Finally, it is notabl</w:t>
      </w:r>
      <w:r w:rsidR="00707554">
        <w:t>e that all of the coefficients for the VIX index are</w:t>
      </w:r>
      <w:r w:rsidR="00FF74E5">
        <w:t xml:space="preserve"> greater than their counterparts in Panel A</w:t>
      </w:r>
      <w:r w:rsidR="00707554">
        <w:t xml:space="preserve"> that only includes the VIX index.  </w:t>
      </w:r>
      <w:r w:rsidR="003217BB">
        <w:t xml:space="preserve">Thus the return to value provided by increases in the VIX index increases in the presence of </w:t>
      </w:r>
      <w:r w:rsidR="00707554">
        <w:t xml:space="preserve">the VVIX, </w:t>
      </w:r>
      <w:r w:rsidR="003217BB">
        <w:t xml:space="preserve">our proxy for ambiguity.  </w:t>
      </w:r>
    </w:p>
    <w:p w:rsidR="00FA3C6B" w:rsidRDefault="00FA3C6B" w:rsidP="00FA3C6B">
      <w:pPr>
        <w:spacing w:line="480" w:lineRule="auto"/>
        <w:ind w:firstLine="720"/>
      </w:pPr>
      <w:r>
        <w:t>These results provide an indication that the time frame over which the relationship between the return to value and volatility is important, an issue not addressed by previous studies.  In the short term, the asymmetric volatility phenomenon seems to dominate as recent volatility leads to negative returns to value, while higher levels of ambiguity are rewarded with higher future returns to value in the short term.  Thus investors seem to be ambiguity-seeking in the short-term since short-term returns to value are positively related to this variable</w:t>
      </w:r>
      <w:r w:rsidR="00B164FA">
        <w:t xml:space="preserve">, consistent </w:t>
      </w:r>
      <w:r w:rsidR="00B164FA" w:rsidRPr="00C6073A">
        <w:t>with</w:t>
      </w:r>
      <w:r w:rsidRPr="00C6073A">
        <w:t xml:space="preserve"> Abdellaoui, </w:t>
      </w:r>
      <w:r w:rsidR="00C6073A">
        <w:t>et. al.</w:t>
      </w:r>
      <w:r w:rsidRPr="00C6073A">
        <w:t xml:space="preserve"> (2005), and Shyti (2013).</w:t>
      </w:r>
      <w:r w:rsidR="00C6073A">
        <w:t xml:space="preserve">  </w:t>
      </w:r>
      <w:r w:rsidRPr="00C6073A">
        <w:t>However</w:t>
      </w:r>
      <w:r>
        <w:t xml:space="preserve">, over longer time frames, the returns to ambiguity are negative, consistent the recent empirical evidence of </w:t>
      </w:r>
      <w:r w:rsidRPr="00997A3B">
        <w:t>Aboura and Arisoy (2015), Baltussen et</w:t>
      </w:r>
      <w:r w:rsidR="001D7A5C">
        <w:t xml:space="preserve">. al. </w:t>
      </w:r>
      <w:r>
        <w:t xml:space="preserve">(2014), and </w:t>
      </w:r>
      <w:r w:rsidRPr="00997A3B">
        <w:t>Brenner</w:t>
      </w:r>
      <w:r>
        <w:t xml:space="preserve"> </w:t>
      </w:r>
      <w:r w:rsidRPr="00997A3B">
        <w:t>and Izhazian (2012).</w:t>
      </w:r>
      <w:r w:rsidR="00C6073A">
        <w:t xml:space="preserve">  Thus it seems that the theoretical research on this topic needs to be reconciled with the empirical evidence, and that the relations among returns, style, volatility, and uncertainty may require further examination</w:t>
      </w:r>
      <w:r w:rsidR="00465BC9">
        <w:t xml:space="preserve"> over various time horizons</w:t>
      </w:r>
      <w:r w:rsidR="00C6073A">
        <w:t xml:space="preserve"> in order to be understood properly.</w:t>
      </w:r>
      <w:r w:rsidRPr="00997A3B">
        <w:t xml:space="preserve"> </w:t>
      </w:r>
      <w:r>
        <w:t xml:space="preserve">  </w:t>
      </w:r>
    </w:p>
    <w:p w:rsidR="00707554" w:rsidRDefault="00CD66D4" w:rsidP="00D17C68">
      <w:pPr>
        <w:spacing w:line="480" w:lineRule="auto"/>
        <w:ind w:firstLine="720"/>
      </w:pPr>
      <w:r>
        <w:t>Similar results obtain for both the mid-cap and small-cap ETF resul</w:t>
      </w:r>
      <w:r w:rsidR="006305B0">
        <w:t>ts that are detailed in Tables 6</w:t>
      </w:r>
      <w:r>
        <w:t xml:space="preserve"> and </w:t>
      </w:r>
      <w:r w:rsidR="006305B0">
        <w:t>7</w:t>
      </w:r>
      <w:r>
        <w:t xml:space="preserve">, although the values of the coefficients, the t-statistics, and the R-squared values are </w:t>
      </w:r>
      <w:r w:rsidR="003217BB">
        <w:t>generally smaller</w:t>
      </w:r>
      <w:r w:rsidR="006305B0">
        <w:t xml:space="preserve"> than in Table 5</w:t>
      </w:r>
      <w:r>
        <w:t xml:space="preserve">.  </w:t>
      </w:r>
      <w:r w:rsidR="00605513">
        <w:t>The results for the mid-cap ETFs are espec</w:t>
      </w:r>
      <w:r w:rsidR="006305B0">
        <w:t>ially weak in Panel A of Table 6</w:t>
      </w:r>
      <w:r w:rsidR="00605513">
        <w:t xml:space="preserve"> since the positive return to value from the VIX index is only significant at the sixty day time horizon, and then only at the ten percent level.  In Panel B, there are some similar results to those in </w:t>
      </w:r>
      <w:r w:rsidR="006305B0">
        <w:t>Table 5</w:t>
      </w:r>
      <w:r w:rsidR="00605513">
        <w:t xml:space="preserve"> for the large cap ETFs, but the results are less consistent.  The results f</w:t>
      </w:r>
      <w:r w:rsidR="006305B0">
        <w:t>or the small-cap ETFs in Table 7</w:t>
      </w:r>
      <w:r w:rsidR="00605513">
        <w:t xml:space="preserve"> indicate slightly stronger relationships in Panel A since the </w:t>
      </w:r>
      <w:r w:rsidR="00605513">
        <w:lastRenderedPageBreak/>
        <w:t xml:space="preserve">positive relation between the VIX and returns to value is significant for all horizons of ten days or greater.  The results that include the VVIX index in Panel B are stronger than those for the mid-cap ETFs, but still not as consistent as those for the large-cap ETFs.  </w:t>
      </w:r>
      <w:r w:rsidR="00E974E1">
        <w:t>It seems that the effects of volatility and ambiguity are most effectively impounded into future stock returns for large ca</w:t>
      </w:r>
      <w:r w:rsidR="003217BB">
        <w:t xml:space="preserve">p stocks </w:t>
      </w:r>
      <w:r w:rsidR="0095000A">
        <w:t xml:space="preserve">during our sample </w:t>
      </w:r>
      <w:r w:rsidR="003217BB">
        <w:t>period</w:t>
      </w:r>
      <w:r w:rsidR="00E974E1">
        <w:t xml:space="preserve">.  </w:t>
      </w:r>
      <w:r>
        <w:t>However, the return to value results indicated by the VIX and VVIX indices are clearly still a present factor during the time period under study for</w:t>
      </w:r>
      <w:r w:rsidR="00E974E1">
        <w:t xml:space="preserve"> all of </w:t>
      </w:r>
      <w:r>
        <w:t>these ETFs.</w:t>
      </w:r>
      <w:r w:rsidR="00FF74E5">
        <w:t xml:space="preserve">  </w:t>
      </w:r>
    </w:p>
    <w:p w:rsidR="00364A17" w:rsidRDefault="00364A17" w:rsidP="00D17C68">
      <w:pPr>
        <w:spacing w:line="480" w:lineRule="auto"/>
        <w:ind w:firstLine="720"/>
      </w:pPr>
      <w:r>
        <w:t xml:space="preserve">In order to examine the potential economic value of trading strategies based on these results, </w:t>
      </w:r>
      <w:r w:rsidR="00707554">
        <w:t xml:space="preserve">in Table </w:t>
      </w:r>
      <w:r w:rsidR="006305B0">
        <w:t>8</w:t>
      </w:r>
      <w:r w:rsidR="00707554">
        <w:t xml:space="preserve"> </w:t>
      </w:r>
      <w:r>
        <w:t xml:space="preserve">we present the results of mechanical trading strategies </w:t>
      </w:r>
      <w:r w:rsidR="006305B0">
        <w:t>suggested by Table 5</w:t>
      </w:r>
      <w:r>
        <w:t xml:space="preserve"> for the most liquid, large-cap ETFs over five </w:t>
      </w:r>
      <w:r w:rsidR="002A0755">
        <w:t>different return horizons</w:t>
      </w:r>
      <w:r w:rsidR="00C64C12">
        <w:t xml:space="preserve"> from one to sixty days.  Following Boscaljon et. al. (2011), we calculate the seventy-five day moving average of the VIX index and examine four “triggers” that generate trading signals</w:t>
      </w:r>
      <w:r w:rsidR="00483C5E">
        <w:t xml:space="preserve"> based on deviations from this moving average</w:t>
      </w:r>
      <w:r w:rsidR="00C64C12">
        <w:t xml:space="preserve">.  These triggers are set at levels from ten to forty percent above and below the moving average, and are evaluated over each of the </w:t>
      </w:r>
      <w:r w:rsidR="00FF74E5">
        <w:t>respective</w:t>
      </w:r>
      <w:r w:rsidR="00C64C12">
        <w:t xml:space="preserve"> time frames.</w:t>
      </w:r>
      <w:r>
        <w:t xml:space="preserve">  </w:t>
      </w:r>
      <w:r w:rsidR="00D476B8">
        <w:t>As suggested by t</w:t>
      </w:r>
      <w:r w:rsidR="0073506D">
        <w:t xml:space="preserve">he results in Panel A of Table </w:t>
      </w:r>
      <w:r w:rsidR="006305B0">
        <w:t>5</w:t>
      </w:r>
      <w:r w:rsidR="009A5619">
        <w:t xml:space="preserve"> for periods of ten days or less</w:t>
      </w:r>
      <w:r w:rsidR="00D476B8">
        <w:t>, a</w:t>
      </w:r>
      <w:r w:rsidR="00C64C12">
        <w:t xml:space="preserve"> positive deviation indicates the purchase of the value ETF and short sale of the growth ETF, and vice versa.  </w:t>
      </w:r>
      <w:r>
        <w:t>In Panel A</w:t>
      </w:r>
      <w:r w:rsidR="00D476B8">
        <w:t xml:space="preserve"> of Table </w:t>
      </w:r>
      <w:r w:rsidR="006305B0">
        <w:t>8</w:t>
      </w:r>
      <w:r>
        <w:t xml:space="preserve">, we present the results of trading strategies based solely on </w:t>
      </w:r>
      <w:r w:rsidR="00C64C12">
        <w:t>changes in the VIX index</w:t>
      </w:r>
      <w:r>
        <w:t xml:space="preserve"> that are similar to those of Boscaljon et. al. (2011), using only changes in the VIX index as a trading indicator.  Consistent with their paper,</w:t>
      </w:r>
      <w:r w:rsidR="00231BA0">
        <w:t xml:space="preserve"> the results are mixed, with</w:t>
      </w:r>
      <w:r>
        <w:t xml:space="preserve"> most positive outcomes occurring only for the highest level of </w:t>
      </w:r>
      <w:r w:rsidR="00D476B8">
        <w:t xml:space="preserve">deviations from the 75-day moving average of </w:t>
      </w:r>
      <w:r>
        <w:t>the VIX index</w:t>
      </w:r>
      <w:r w:rsidR="005C5824">
        <w:t xml:space="preserve"> </w:t>
      </w:r>
      <w:r w:rsidR="00231BA0">
        <w:t>(+/- 0.4)</w:t>
      </w:r>
      <w:r>
        <w:t xml:space="preserve">.  </w:t>
      </w:r>
      <w:r w:rsidR="00C666E2">
        <w:t xml:space="preserve">These results </w:t>
      </w:r>
      <w:r w:rsidR="002246BE">
        <w:t>demonstrate</w:t>
      </w:r>
      <w:r w:rsidR="00C666E2">
        <w:t xml:space="preserve"> that trading strategies bas</w:t>
      </w:r>
      <w:r w:rsidR="00231BA0">
        <w:t>ed only on the VIX index experience</w:t>
      </w:r>
      <w:r w:rsidR="00C666E2">
        <w:t xml:space="preserve"> positive returns to value based on level</w:t>
      </w:r>
      <w:r w:rsidR="00D476B8">
        <w:t xml:space="preserve">s of the VIX index </w:t>
      </w:r>
      <w:r w:rsidR="00231BA0">
        <w:t>only for</w:t>
      </w:r>
      <w:r w:rsidR="00D476B8">
        <w:t xml:space="preserve"> large deviations from historical averages</w:t>
      </w:r>
      <w:r w:rsidR="00C666E2">
        <w:t xml:space="preserve">. </w:t>
      </w:r>
      <w:r w:rsidR="000D3327">
        <w:t xml:space="preserve"> </w:t>
      </w:r>
      <w:r w:rsidR="002246BE">
        <w:t>Additionally</w:t>
      </w:r>
      <w:r w:rsidR="000D3327">
        <w:t xml:space="preserve">, over short time frames and for low deviations from the </w:t>
      </w:r>
      <w:r w:rsidR="000D3327">
        <w:lastRenderedPageBreak/>
        <w:t>moving average, there is actually a positive return to growth that has not been previously reported.</w:t>
      </w:r>
      <w:r w:rsidR="00FA3C6B">
        <w:t xml:space="preserve">  For example, </w:t>
      </w:r>
      <w:r w:rsidR="0073506D">
        <w:t>the one day horizon ten</w:t>
      </w:r>
      <w:r w:rsidR="00FA3C6B">
        <w:t>- and twenty-</w:t>
      </w:r>
      <w:r w:rsidR="0073506D">
        <w:t xml:space="preserve">percent deviations lead to negative </w:t>
      </w:r>
      <w:r w:rsidR="001D7A5C">
        <w:t xml:space="preserve">cumulative </w:t>
      </w:r>
      <w:r w:rsidR="0073506D">
        <w:t>returns to value</w:t>
      </w:r>
      <w:r w:rsidR="00FA3C6B">
        <w:t xml:space="preserve"> (or positive returns to growth)</w:t>
      </w:r>
      <w:r w:rsidR="0073506D">
        <w:t xml:space="preserve"> of 19.84 and 15.14 percent, respectively.</w:t>
      </w:r>
    </w:p>
    <w:p w:rsidR="00B164FA" w:rsidRDefault="00231BA0" w:rsidP="00D17C68">
      <w:pPr>
        <w:spacing w:line="480" w:lineRule="auto"/>
        <w:ind w:firstLine="720"/>
      </w:pPr>
      <w:r>
        <w:t>However, in Pan</w:t>
      </w:r>
      <w:r w:rsidR="006305B0">
        <w:t>el B of Table 8</w:t>
      </w:r>
      <w:r w:rsidR="00364A17">
        <w:t xml:space="preserve">, we present the results of strategies that </w:t>
      </w:r>
      <w:r w:rsidR="00C666E2">
        <w:t xml:space="preserve">utilize both the levels of VIX and VVIX to provide somewhat </w:t>
      </w:r>
      <w:r w:rsidR="005B7358">
        <w:t>diffe</w:t>
      </w:r>
      <w:r w:rsidR="00C666E2">
        <w:t xml:space="preserve">rent </w:t>
      </w:r>
      <w:r>
        <w:t xml:space="preserve">trading strategy </w:t>
      </w:r>
      <w:r w:rsidR="00C666E2">
        <w:t xml:space="preserve">results.  </w:t>
      </w:r>
      <w:r w:rsidR="00D476B8">
        <w:t>As</w:t>
      </w:r>
      <w:r w:rsidR="006305B0">
        <w:t xml:space="preserve"> suggested by Panel B of Table 5</w:t>
      </w:r>
      <w:r w:rsidR="00D476B8">
        <w:t>, f</w:t>
      </w:r>
      <w:r w:rsidR="005F26DC">
        <w:t>or</w:t>
      </w:r>
      <w:r w:rsidR="00D476B8">
        <w:t xml:space="preserve"> strategies over periods of ten days or less, a trading trigg</w:t>
      </w:r>
      <w:r w:rsidR="00D874AD">
        <w:t xml:space="preserve">er is only generated </w:t>
      </w:r>
      <w:r w:rsidR="00D476B8">
        <w:t>when the VIX is</w:t>
      </w:r>
      <w:r w:rsidR="001C363A">
        <w:t xml:space="preserve"> both</w:t>
      </w:r>
      <w:r w:rsidR="006305B0">
        <w:t xml:space="preserve"> </w:t>
      </w:r>
      <w:r w:rsidR="00FA3C6B">
        <w:t>significantly divergent from</w:t>
      </w:r>
      <w:r w:rsidR="00D476B8">
        <w:t xml:space="preserve"> its 75-day moving average</w:t>
      </w:r>
      <w:r>
        <w:t xml:space="preserve"> (</w:t>
      </w:r>
      <w:r w:rsidR="006305B0">
        <w:t>at the trigger points</w:t>
      </w:r>
      <w:r>
        <w:t>)</w:t>
      </w:r>
      <w:r w:rsidR="00D476B8">
        <w:t xml:space="preserve"> and the VVIX is</w:t>
      </w:r>
      <w:r w:rsidR="00E74DA1">
        <w:t xml:space="preserve"> also </w:t>
      </w:r>
      <w:r w:rsidR="00FA3C6B">
        <w:t>above or below</w:t>
      </w:r>
      <w:r w:rsidR="00E74DA1">
        <w:t xml:space="preserve"> its 75-day moving average in the opposite direction</w:t>
      </w:r>
      <w:r w:rsidR="00FA3C6B">
        <w:t>,</w:t>
      </w:r>
      <w:r w:rsidR="00E74DA1">
        <w:t xml:space="preserve"> given the inverse relationship of the indexes</w:t>
      </w:r>
      <w:r w:rsidR="00FA3C6B">
        <w:t xml:space="preserve"> to returns to value</w:t>
      </w:r>
      <w:r w:rsidR="00D874AD">
        <w:t xml:space="preserve">.  </w:t>
      </w:r>
      <w:r w:rsidR="00D476B8">
        <w:t xml:space="preserve">As shown in the </w:t>
      </w:r>
      <w:r w:rsidR="00E74DA1">
        <w:t>Panel B</w:t>
      </w:r>
      <w:r w:rsidR="001C363A">
        <w:t>,</w:t>
      </w:r>
      <w:r w:rsidR="00D476B8">
        <w:t xml:space="preserve"> the long/short cumulative return</w:t>
      </w:r>
      <w:r>
        <w:t>s</w:t>
      </w:r>
      <w:r w:rsidR="00E74DA1">
        <w:t xml:space="preserve"> to this strategy are</w:t>
      </w:r>
      <w:r w:rsidR="00D476B8">
        <w:t xml:space="preserve"> </w:t>
      </w:r>
      <w:r>
        <w:t xml:space="preserve">almost </w:t>
      </w:r>
      <w:r w:rsidR="00D476B8">
        <w:t>uniformly positive</w:t>
      </w:r>
      <w:r>
        <w:t xml:space="preserve"> over all forecast horizons</w:t>
      </w:r>
      <w:r w:rsidR="005F26DC">
        <w:t>,</w:t>
      </w:r>
      <w:r w:rsidR="00D476B8">
        <w:t xml:space="preserve"> with a significant reduction in the number of round trip transactions and the number of days in the market.  </w:t>
      </w:r>
      <w:r w:rsidR="0073506D">
        <w:t xml:space="preserve">The only exception is the thirty day horizon </w:t>
      </w:r>
      <w:r w:rsidR="00483C5E">
        <w:t xml:space="preserve">for deviations at the </w:t>
      </w:r>
      <w:r w:rsidR="0073506D">
        <w:t>ten percent</w:t>
      </w:r>
      <w:r w:rsidR="00483C5E">
        <w:t xml:space="preserve"> level</w:t>
      </w:r>
      <w:r w:rsidR="00B164FA">
        <w:t>, w</w:t>
      </w:r>
      <w:r w:rsidR="00B164FA">
        <w:t>here the results are inconclusive since two of four of the strategies generate negative returns, and the average of the trading strategies is negat</w:t>
      </w:r>
      <w:r w:rsidR="00B164FA">
        <w:t xml:space="preserve">ive.  </w:t>
      </w:r>
      <w:r w:rsidR="00B164FA">
        <w:t>But for the sixty-day time frame, all of the strategies that include consideration of the VVIX index provide superior returns and involve a very small number of round trip tra</w:t>
      </w:r>
      <w:r w:rsidR="00D874AD">
        <w:t xml:space="preserve">des during our sample period.  </w:t>
      </w:r>
      <w:r w:rsidR="00B164FA">
        <w:t xml:space="preserve">On average, at the sixty day forecast horizon, the long/short strategies that use both VIX and VVIX information result in an outperformance of 6.55 percent for a much smaller number of round trip transactions.  </w:t>
      </w:r>
    </w:p>
    <w:p w:rsidR="005F26DC" w:rsidRPr="009B1A22" w:rsidRDefault="00D476B8" w:rsidP="00D17C68">
      <w:pPr>
        <w:spacing w:line="480" w:lineRule="auto"/>
        <w:ind w:firstLine="720"/>
      </w:pPr>
      <w:r>
        <w:t>Mo</w:t>
      </w:r>
      <w:r w:rsidR="001C363A">
        <w:t>st importantly, the average differences</w:t>
      </w:r>
      <w:r>
        <w:t xml:space="preserve"> between the strategies tha</w:t>
      </w:r>
      <w:r w:rsidR="00231BA0">
        <w:t xml:space="preserve">t utilize VVIX information </w:t>
      </w:r>
      <w:r w:rsidR="000D3327">
        <w:t xml:space="preserve">in addition to the VIX index </w:t>
      </w:r>
      <w:r w:rsidR="00231BA0">
        <w:t>are</w:t>
      </w:r>
      <w:r>
        <w:t xml:space="preserve"> </w:t>
      </w:r>
      <w:r w:rsidR="007F083B">
        <w:t xml:space="preserve">significantly </w:t>
      </w:r>
      <w:r>
        <w:t>greater than those that do not</w:t>
      </w:r>
      <w:r w:rsidR="00231BA0">
        <w:t xml:space="preserve"> for </w:t>
      </w:r>
      <w:r w:rsidR="002246BE">
        <w:t>all but one of the</w:t>
      </w:r>
      <w:r w:rsidR="00231BA0">
        <w:t xml:space="preserve"> time horizons</w:t>
      </w:r>
      <w:r>
        <w:t xml:space="preserve">.  </w:t>
      </w:r>
      <w:r w:rsidR="0073506D">
        <w:t xml:space="preserve">For instance, </w:t>
      </w:r>
      <w:r w:rsidR="007F083B">
        <w:t xml:space="preserve">the average long/short cumulative return to all of the strategies is 19.96 percent greater for strategies that include both triggers than for those that </w:t>
      </w:r>
      <w:r w:rsidR="007F083B">
        <w:lastRenderedPageBreak/>
        <w:t>include only the VIX index</w:t>
      </w:r>
      <w:r w:rsidR="002246BE">
        <w:t xml:space="preserve"> for the one day holding period</w:t>
      </w:r>
      <w:r w:rsidR="007F083B">
        <w:t xml:space="preserve">.  </w:t>
      </w:r>
      <w:r>
        <w:t xml:space="preserve">So while we cannot suggest a particular trading strategy that is likely to perform well in the future, it seems clear that the use of VVIX information increases the likelihood of trading success over </w:t>
      </w:r>
      <w:r w:rsidR="007F083B">
        <w:t>all but one of the</w:t>
      </w:r>
      <w:r>
        <w:t xml:space="preserve"> time frames and </w:t>
      </w:r>
      <w:r w:rsidR="005F26DC">
        <w:t>trigger points.</w:t>
      </w:r>
      <w:r w:rsidR="00B164FA">
        <w:t xml:space="preserve">  And</w:t>
      </w:r>
      <w:r w:rsidR="00231BA0">
        <w:t xml:space="preserve"> while </w:t>
      </w:r>
      <w:r w:rsidR="00097C68">
        <w:t xml:space="preserve">many of </w:t>
      </w:r>
      <w:r w:rsidR="00231BA0">
        <w:t>these strategies involve portfolios that are fully invested</w:t>
      </w:r>
      <w:r w:rsidR="00097C68">
        <w:t xml:space="preserve"> for only a smal</w:t>
      </w:r>
      <w:r w:rsidR="000D3327">
        <w:t>l por</w:t>
      </w:r>
      <w:r w:rsidR="00D874AD">
        <w:t xml:space="preserve">tion of our full sample period </w:t>
      </w:r>
      <w:r w:rsidR="000D3327">
        <w:t xml:space="preserve">of </w:t>
      </w:r>
      <w:r w:rsidR="00097C68">
        <w:t>2,161 days</w:t>
      </w:r>
      <w:r w:rsidR="00510B51">
        <w:t xml:space="preserve"> (with a concurrent reduction in market exposure)</w:t>
      </w:r>
      <w:r w:rsidR="00097C68">
        <w:t>, they may be useful to multi-strategy investors and or hedge funds that have discretion to deploy excess capital (potentially with leverage) to a variety of tactical asset allocation strategies.</w:t>
      </w:r>
    </w:p>
    <w:p w:rsidR="00E97758" w:rsidRDefault="00E97758" w:rsidP="00D17C68">
      <w:pPr>
        <w:spacing w:line="480" w:lineRule="auto"/>
        <w:rPr>
          <w:b/>
        </w:rPr>
      </w:pPr>
    </w:p>
    <w:p w:rsidR="00A7742D" w:rsidRPr="00FB258C" w:rsidRDefault="001B25F9" w:rsidP="00D17C68">
      <w:pPr>
        <w:spacing w:line="480" w:lineRule="auto"/>
      </w:pPr>
      <w:r>
        <w:rPr>
          <w:b/>
        </w:rPr>
        <w:t>4.  Conclusion</w:t>
      </w:r>
      <w:r w:rsidR="000D3327">
        <w:rPr>
          <w:b/>
        </w:rPr>
        <w:t xml:space="preserve">  </w:t>
      </w:r>
    </w:p>
    <w:p w:rsidR="00A7742D" w:rsidRPr="00FB258C" w:rsidRDefault="00AE758A" w:rsidP="00D17C68">
      <w:pPr>
        <w:spacing w:line="480" w:lineRule="auto"/>
      </w:pPr>
      <w:r w:rsidRPr="00FB258C">
        <w:tab/>
        <w:t>We conclude that there are still return</w:t>
      </w:r>
      <w:r w:rsidR="002461CB">
        <w:t>s to value in the evaluation of</w:t>
      </w:r>
      <w:r w:rsidR="007F083B">
        <w:t xml:space="preserve"> the VIX index</w:t>
      </w:r>
      <w:r w:rsidR="009D3FB5">
        <w:t xml:space="preserve"> that appear in the analysis of deviations from historical moving averages.  T</w:t>
      </w:r>
      <w:r w:rsidR="007F083B">
        <w:t>hese returns are inc</w:t>
      </w:r>
      <w:r w:rsidR="00483C5E">
        <w:t xml:space="preserve">rementally larger </w:t>
      </w:r>
      <w:r w:rsidR="007F083B">
        <w:t>when considering information from the VVIX index that provides a proxy for uncertainty</w:t>
      </w:r>
      <w:r w:rsidR="00B164FA">
        <w:t xml:space="preserve"> that is currently under examination in the finance literature</w:t>
      </w:r>
      <w:r w:rsidRPr="00FB258C">
        <w:t xml:space="preserve">.  </w:t>
      </w:r>
      <w:r w:rsidR="000B5310">
        <w:t>T</w:t>
      </w:r>
      <w:r w:rsidR="00FB258C">
        <w:t xml:space="preserve">he inclusion of </w:t>
      </w:r>
      <w:r w:rsidR="00F14BD4">
        <w:t xml:space="preserve">the </w:t>
      </w:r>
      <w:r w:rsidR="00FB258C">
        <w:t>VVIX</w:t>
      </w:r>
      <w:r w:rsidR="00F14BD4">
        <w:t xml:space="preserve"> index </w:t>
      </w:r>
      <w:r w:rsidR="00FB258C">
        <w:t xml:space="preserve">in the analysis of the VIX effect on returns to value </w:t>
      </w:r>
      <w:r w:rsidR="007F083B">
        <w:t xml:space="preserve">for easily traded ETFs is </w:t>
      </w:r>
      <w:r w:rsidR="00FB258C">
        <w:t>informative</w:t>
      </w:r>
      <w:r w:rsidR="007F083B">
        <w:t xml:space="preserve"> since it is </w:t>
      </w:r>
      <w:r w:rsidR="002246BE">
        <w:t>straightforward and cost-effective</w:t>
      </w:r>
      <w:r w:rsidR="007F083B">
        <w:t xml:space="preserve"> to implement style-based trading strategies with these securities</w:t>
      </w:r>
      <w:r w:rsidR="00FB258C">
        <w:t xml:space="preserve">.  </w:t>
      </w:r>
      <w:r w:rsidR="0059027A">
        <w:t>While the returns to value are positive relative to increased levels of the VIX index over longer time frames, the</w:t>
      </w:r>
      <w:r w:rsidR="007F083B">
        <w:t xml:space="preserve">y are negative </w:t>
      </w:r>
      <w:r w:rsidR="0059027A">
        <w:t xml:space="preserve">over shorter time frames.  </w:t>
      </w:r>
      <w:r w:rsidR="007F083B">
        <w:t>Returns to value from ambiguity, however, demonstrate opposite effects as they lead to positive returns in th</w:t>
      </w:r>
      <w:r w:rsidR="00B164FA">
        <w:t>e short-term (ambiguity-seeking</w:t>
      </w:r>
      <w:r w:rsidR="007F083B">
        <w:t xml:space="preserve">) and negative returns over longer time frames (ambiguity </w:t>
      </w:r>
      <w:r w:rsidR="00B164FA">
        <w:t xml:space="preserve">aversion).  These results are </w:t>
      </w:r>
      <w:r w:rsidR="009D3FB5">
        <w:t>consistent with much of the current literature</w:t>
      </w:r>
      <w:r w:rsidR="00B164FA">
        <w:t xml:space="preserve"> that finds somewhat conflicting results</w:t>
      </w:r>
      <w:r w:rsidR="002246BE">
        <w:t xml:space="preserve"> depending on the time horizon being examined</w:t>
      </w:r>
      <w:r w:rsidR="007F083B">
        <w:t>.  T</w:t>
      </w:r>
      <w:r w:rsidR="002246BE">
        <w:t>hus t</w:t>
      </w:r>
      <w:r w:rsidR="007F083B">
        <w:t>he</w:t>
      </w:r>
      <w:r w:rsidR="0059027A">
        <w:t xml:space="preserve"> </w:t>
      </w:r>
      <w:r w:rsidR="001D7A5C">
        <w:t>time horizon considered is</w:t>
      </w:r>
      <w:r w:rsidR="0059027A">
        <w:t xml:space="preserve"> important to understanding the dynamics of the volatility</w:t>
      </w:r>
      <w:r w:rsidR="00A57BD0">
        <w:t xml:space="preserve"> and ambigu</w:t>
      </w:r>
      <w:r w:rsidR="001D7A5C">
        <w:t xml:space="preserve">ity </w:t>
      </w:r>
      <w:r w:rsidR="001D7A5C">
        <w:lastRenderedPageBreak/>
        <w:t xml:space="preserve">relationships among </w:t>
      </w:r>
      <w:r w:rsidR="00A57BD0">
        <w:t>volatility ind</w:t>
      </w:r>
      <w:r w:rsidR="0059027A">
        <w:t>ices and t</w:t>
      </w:r>
      <w:r w:rsidR="00A57BD0">
        <w:t>h</w:t>
      </w:r>
      <w:r w:rsidR="0059027A">
        <w:t xml:space="preserve">eir effect on future stock returns.  </w:t>
      </w:r>
      <w:r w:rsidR="00A57BD0">
        <w:t>T</w:t>
      </w:r>
      <w:r w:rsidR="0059027A">
        <w:t>he result</w:t>
      </w:r>
      <w:r w:rsidR="007F083B">
        <w:t>s</w:t>
      </w:r>
      <w:r w:rsidR="0059027A">
        <w:t xml:space="preserve"> </w:t>
      </w:r>
      <w:r w:rsidR="00A57BD0">
        <w:t>provide further impetus to pro</w:t>
      </w:r>
      <w:r w:rsidR="0059027A">
        <w:t>ce</w:t>
      </w:r>
      <w:r w:rsidR="00A57BD0">
        <w:t>ed in the examination of the future relationships among re</w:t>
      </w:r>
      <w:r w:rsidR="007F083B">
        <w:t>tur</w:t>
      </w:r>
      <w:r w:rsidR="0059027A">
        <w:t>ns, ambiguity, and volatility</w:t>
      </w:r>
      <w:r w:rsidR="007F083B">
        <w:t>, as well as their application to potential trading strategies</w:t>
      </w:r>
      <w:r w:rsidR="0059027A">
        <w:t>.</w:t>
      </w:r>
      <w:r w:rsidR="007F083B">
        <w:t xml:space="preserve">  </w:t>
      </w:r>
      <w:r w:rsidR="00A7742D" w:rsidRPr="00FB258C">
        <w:br w:type="page"/>
      </w:r>
    </w:p>
    <w:p w:rsidR="001B25F9" w:rsidRDefault="00A7742D" w:rsidP="00D17C68">
      <w:pPr>
        <w:spacing w:line="480" w:lineRule="auto"/>
        <w:rPr>
          <w:b/>
        </w:rPr>
      </w:pPr>
      <w:r>
        <w:rPr>
          <w:b/>
        </w:rPr>
        <w:lastRenderedPageBreak/>
        <w:t xml:space="preserve">Figure 1  </w:t>
      </w:r>
      <w:r w:rsidR="003332FB">
        <w:rPr>
          <w:b/>
        </w:rPr>
        <w:t>The v</w:t>
      </w:r>
      <w:r w:rsidR="00A252B0">
        <w:rPr>
          <w:b/>
        </w:rPr>
        <w:t>olatility index (VIX) and the volatility of volatility index (VVIX)</w:t>
      </w:r>
    </w:p>
    <w:p w:rsidR="00A252B0" w:rsidRDefault="00A252B0" w:rsidP="00D17C68">
      <w:pPr>
        <w:spacing w:line="480" w:lineRule="auto"/>
        <w:rPr>
          <w:b/>
        </w:rPr>
      </w:pPr>
      <w:r>
        <w:rPr>
          <w:noProof/>
        </w:rPr>
        <w:drawing>
          <wp:inline distT="0" distB="0" distL="0" distR="0" wp14:anchorId="3D991A37" wp14:editId="358F7FA1">
            <wp:extent cx="5867401" cy="41814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25F9" w:rsidRDefault="001B25F9" w:rsidP="00D17C68">
      <w:pPr>
        <w:rPr>
          <w:b/>
        </w:rPr>
      </w:pPr>
    </w:p>
    <w:p w:rsidR="001F1785" w:rsidRDefault="001F1785" w:rsidP="00D17C68">
      <w:pPr>
        <w:rPr>
          <w:b/>
        </w:rPr>
      </w:pPr>
      <w:r>
        <w:rPr>
          <w:b/>
        </w:rPr>
        <w:br w:type="page"/>
      </w:r>
    </w:p>
    <w:p w:rsidR="009E1F70" w:rsidRDefault="009E1F70" w:rsidP="009E1F70">
      <w:pPr>
        <w:widowControl w:val="0"/>
        <w:spacing w:line="480" w:lineRule="auto"/>
        <w:rPr>
          <w:b/>
        </w:rPr>
      </w:pPr>
      <w:r w:rsidRPr="005C445E">
        <w:rPr>
          <w:b/>
        </w:rPr>
        <w:lastRenderedPageBreak/>
        <w:t>References</w:t>
      </w:r>
    </w:p>
    <w:p w:rsidR="00B164FA" w:rsidRDefault="00B164FA" w:rsidP="00B164FA">
      <w:pPr>
        <w:autoSpaceDE w:val="0"/>
        <w:autoSpaceDN w:val="0"/>
        <w:adjustRightInd w:val="0"/>
        <w:ind w:left="720" w:hanging="720"/>
      </w:pPr>
      <w:r w:rsidRPr="00B164FA">
        <w:t xml:space="preserve">Abdellaoui, M., Vossmann, </w:t>
      </w:r>
      <w:r>
        <w:t>F., &amp; Weber, M. (2005). Choice-based elicitation and decomposition of decision weights for gains and losses under u</w:t>
      </w:r>
      <w:r w:rsidRPr="00B164FA">
        <w:t xml:space="preserve">ncertainty. </w:t>
      </w:r>
      <w:r w:rsidRPr="00B164FA">
        <w:rPr>
          <w:i/>
          <w:iCs/>
        </w:rPr>
        <w:t>Management Science, 51</w:t>
      </w:r>
      <w:r w:rsidRPr="00B164FA">
        <w:t xml:space="preserve">(9), 1384-1399. </w:t>
      </w:r>
    </w:p>
    <w:p w:rsidR="00B164FA" w:rsidRPr="00B164FA" w:rsidRDefault="00B164FA" w:rsidP="00B164FA">
      <w:pPr>
        <w:autoSpaceDE w:val="0"/>
        <w:autoSpaceDN w:val="0"/>
        <w:adjustRightInd w:val="0"/>
        <w:ind w:left="720" w:hanging="720"/>
      </w:pPr>
    </w:p>
    <w:p w:rsidR="009E1F70" w:rsidRPr="00085C1A" w:rsidRDefault="009E1F70" w:rsidP="00B164FA">
      <w:pPr>
        <w:autoSpaceDE w:val="0"/>
        <w:autoSpaceDN w:val="0"/>
        <w:adjustRightInd w:val="0"/>
        <w:ind w:left="720" w:hanging="720"/>
      </w:pPr>
      <w:r w:rsidRPr="006706C6">
        <w:t>Aboura</w:t>
      </w:r>
      <w:r>
        <w:t>, &amp; Arisoy. (2015). Does aggregate uncertainty explain size and v</w:t>
      </w:r>
      <w:r w:rsidRPr="006706C6">
        <w:t>alu</w:t>
      </w:r>
      <w:r>
        <w:t>e anomalies? Retrieved from</w:t>
      </w:r>
      <w:r w:rsidRPr="006706C6">
        <w:t xml:space="preserve"> </w:t>
      </w:r>
      <w:hyperlink r:id="rId13" w:tgtFrame="_blank" w:history="1">
        <w:r w:rsidRPr="006706C6">
          <w:rPr>
            <w:rStyle w:val="Hyperlink"/>
          </w:rPr>
          <w:t>http://ssrn.com/abstract=2494943</w:t>
        </w:r>
      </w:hyperlink>
      <w:r>
        <w:rPr>
          <w:rStyle w:val="Hyperlink"/>
        </w:rPr>
        <w:t>.</w:t>
      </w:r>
    </w:p>
    <w:p w:rsidR="009E1F70" w:rsidRPr="006706C6" w:rsidRDefault="009E1F70" w:rsidP="009E1F70">
      <w:pPr>
        <w:autoSpaceDE w:val="0"/>
        <w:autoSpaceDN w:val="0"/>
        <w:adjustRightInd w:val="0"/>
        <w:ind w:left="720" w:hanging="720"/>
      </w:pPr>
    </w:p>
    <w:p w:rsidR="009E1F70" w:rsidRDefault="009E1F70" w:rsidP="009E1F70">
      <w:pPr>
        <w:autoSpaceDE w:val="0"/>
        <w:autoSpaceDN w:val="0"/>
        <w:adjustRightInd w:val="0"/>
        <w:ind w:left="720" w:hanging="720"/>
      </w:pPr>
      <w:r w:rsidRPr="00BA3A4B">
        <w:t>A</w:t>
      </w:r>
      <w:r>
        <w:t>mmann</w:t>
      </w:r>
      <w:r w:rsidRPr="00BA3A4B">
        <w:t>, M., S</w:t>
      </w:r>
      <w:r>
        <w:t>kovmand,</w:t>
      </w:r>
      <w:r w:rsidRPr="00BA3A4B">
        <w:t xml:space="preserve"> D., &amp; V</w:t>
      </w:r>
      <w:r>
        <w:t xml:space="preserve">erhofen, </w:t>
      </w:r>
      <w:r w:rsidRPr="00BA3A4B">
        <w:t>M. (2009). I</w:t>
      </w:r>
      <w:r>
        <w:t xml:space="preserve">mplied and realized volatility in the cross section of equity options.  </w:t>
      </w:r>
      <w:r w:rsidRPr="00BA3A4B">
        <w:rPr>
          <w:i/>
          <w:iCs/>
        </w:rPr>
        <w:t>International Journal of Theoretical and Applied Finance, 12</w:t>
      </w:r>
      <w:r w:rsidRPr="00BA3A4B">
        <w:t>(06), 745-765.</w:t>
      </w:r>
    </w:p>
    <w:p w:rsidR="0048741F" w:rsidRDefault="0048741F" w:rsidP="009E1F70">
      <w:pPr>
        <w:autoSpaceDE w:val="0"/>
        <w:autoSpaceDN w:val="0"/>
        <w:adjustRightInd w:val="0"/>
        <w:ind w:left="720" w:hanging="720"/>
      </w:pPr>
    </w:p>
    <w:p w:rsidR="0048741F" w:rsidRPr="0048741F" w:rsidRDefault="0048741F" w:rsidP="0048741F">
      <w:pPr>
        <w:autoSpaceDE w:val="0"/>
        <w:autoSpaceDN w:val="0"/>
        <w:adjustRightInd w:val="0"/>
        <w:ind w:left="720" w:hanging="720"/>
      </w:pPr>
      <w:r w:rsidRPr="0048741F">
        <w:t>A</w:t>
      </w:r>
      <w:r>
        <w:t>n</w:t>
      </w:r>
      <w:r w:rsidRPr="0048741F">
        <w:t xml:space="preserve">, B. J., Ang, A., Bali, T. G., &amp; Cakici, N. (2014). The joint cross section of stocks and options. </w:t>
      </w:r>
      <w:r w:rsidRPr="0048741F">
        <w:rPr>
          <w:i/>
          <w:iCs/>
        </w:rPr>
        <w:t>The Journal of Finance, 69</w:t>
      </w:r>
      <w:r w:rsidRPr="0048741F">
        <w:t xml:space="preserve">(5), 2279-2337. </w:t>
      </w:r>
    </w:p>
    <w:p w:rsidR="0048741F" w:rsidRDefault="0048741F" w:rsidP="009E1F70">
      <w:pPr>
        <w:autoSpaceDE w:val="0"/>
        <w:autoSpaceDN w:val="0"/>
        <w:adjustRightInd w:val="0"/>
        <w:ind w:left="720" w:hanging="720"/>
      </w:pPr>
    </w:p>
    <w:p w:rsidR="0048741F" w:rsidRPr="0048741F" w:rsidRDefault="0048741F" w:rsidP="0048741F">
      <w:pPr>
        <w:autoSpaceDE w:val="0"/>
        <w:autoSpaceDN w:val="0"/>
        <w:adjustRightInd w:val="0"/>
        <w:ind w:left="720" w:hanging="720"/>
      </w:pPr>
      <w:r w:rsidRPr="0048741F">
        <w:t xml:space="preserve">Bali, T. G., Cakici, N., &amp; Chabi-Yo, F. (2015). A new approach to measuring riskiness in the equity market: Implications for the risk premium. </w:t>
      </w:r>
      <w:r w:rsidRPr="0048741F">
        <w:rPr>
          <w:i/>
          <w:iCs/>
        </w:rPr>
        <w:t>Journal of Banking &amp; Finance, 57</w:t>
      </w:r>
      <w:r w:rsidRPr="0048741F">
        <w:t xml:space="preserve">(0), 101-117. </w:t>
      </w:r>
    </w:p>
    <w:p w:rsidR="0048741F" w:rsidRDefault="0048741F" w:rsidP="009E1F70">
      <w:pPr>
        <w:autoSpaceDE w:val="0"/>
        <w:autoSpaceDN w:val="0"/>
        <w:adjustRightInd w:val="0"/>
        <w:ind w:left="720" w:hanging="720"/>
      </w:pPr>
    </w:p>
    <w:p w:rsidR="009E1F70" w:rsidRPr="006706C6" w:rsidRDefault="009E1F70" w:rsidP="009E1F70">
      <w:pPr>
        <w:autoSpaceDE w:val="0"/>
        <w:autoSpaceDN w:val="0"/>
        <w:adjustRightInd w:val="0"/>
        <w:ind w:left="720" w:hanging="720"/>
      </w:pPr>
      <w:r w:rsidRPr="006706C6">
        <w:t>Baltussen, G., van Bekkum</w:t>
      </w:r>
      <w:r>
        <w:t xml:space="preserve">, S., </w:t>
      </w:r>
      <w:r>
        <w:rPr>
          <w:szCs w:val="18"/>
        </w:rPr>
        <w:t xml:space="preserve">&amp; </w:t>
      </w:r>
      <w:r>
        <w:t>van der Grient, B. (2014). Unknown unknowns: Uncertainty a</w:t>
      </w:r>
      <w:r w:rsidRPr="006706C6">
        <w:t xml:space="preserve">bout </w:t>
      </w:r>
      <w:r>
        <w:t>r</w:t>
      </w:r>
      <w:r w:rsidRPr="006706C6">
        <w:t xml:space="preserve">isk and </w:t>
      </w:r>
      <w:r>
        <w:t>s</w:t>
      </w:r>
      <w:r w:rsidRPr="006706C6">
        <w:t xml:space="preserve">tock </w:t>
      </w:r>
      <w:r>
        <w:t>r</w:t>
      </w:r>
      <w:r w:rsidRPr="006706C6">
        <w:t xml:space="preserve">eturns.  </w:t>
      </w:r>
      <w:r>
        <w:t>Retrieved from</w:t>
      </w:r>
      <w:r w:rsidRPr="006706C6">
        <w:t xml:space="preserve"> </w:t>
      </w:r>
      <w:hyperlink r:id="rId14" w:tgtFrame="_blank" w:history="1">
        <w:r w:rsidRPr="006706C6">
          <w:rPr>
            <w:rStyle w:val="Hyperlink"/>
          </w:rPr>
          <w:t>http://ssrn.com/abstract=2023066</w:t>
        </w:r>
      </w:hyperlink>
      <w:r w:rsidRPr="006706C6">
        <w:t>.</w:t>
      </w:r>
    </w:p>
    <w:p w:rsidR="009E1F70" w:rsidRPr="006706C6" w:rsidRDefault="009E1F70" w:rsidP="009E1F70">
      <w:pPr>
        <w:autoSpaceDE w:val="0"/>
        <w:autoSpaceDN w:val="0"/>
        <w:adjustRightInd w:val="0"/>
        <w:ind w:left="720" w:hanging="720"/>
        <w:rPr>
          <w:szCs w:val="18"/>
        </w:rPr>
      </w:pPr>
    </w:p>
    <w:p w:rsidR="009E1F70" w:rsidRDefault="009E1F70" w:rsidP="009E1F70">
      <w:pPr>
        <w:autoSpaceDE w:val="0"/>
        <w:autoSpaceDN w:val="0"/>
        <w:adjustRightInd w:val="0"/>
        <w:ind w:left="720" w:hanging="720"/>
        <w:rPr>
          <w:szCs w:val="18"/>
        </w:rPr>
      </w:pPr>
      <w:r w:rsidRPr="00961A08">
        <w:rPr>
          <w:szCs w:val="18"/>
        </w:rPr>
        <w:t xml:space="preserve">Below, S. P., Kiely, J. P., &amp; Prati, R. P. (2009). Style index rebalancing for better diversification: lessons from broad market and equity style indexes. </w:t>
      </w:r>
      <w:r w:rsidRPr="00961A08">
        <w:rPr>
          <w:i/>
          <w:iCs/>
          <w:szCs w:val="18"/>
        </w:rPr>
        <w:t>Financial Services Review, 18</w:t>
      </w:r>
      <w:r w:rsidRPr="00961A08">
        <w:rPr>
          <w:szCs w:val="18"/>
        </w:rPr>
        <w:t xml:space="preserve">(3), 231-248. </w:t>
      </w:r>
    </w:p>
    <w:p w:rsidR="009E1F70" w:rsidRPr="00961A08" w:rsidRDefault="009E1F70" w:rsidP="009E1F70">
      <w:pPr>
        <w:autoSpaceDE w:val="0"/>
        <w:autoSpaceDN w:val="0"/>
        <w:adjustRightInd w:val="0"/>
        <w:ind w:left="720" w:hanging="720"/>
        <w:rPr>
          <w:szCs w:val="18"/>
        </w:rPr>
      </w:pPr>
    </w:p>
    <w:p w:rsidR="009E1F70" w:rsidRDefault="009E1F70" w:rsidP="009E1F70">
      <w:pPr>
        <w:autoSpaceDE w:val="0"/>
        <w:autoSpaceDN w:val="0"/>
        <w:adjustRightInd w:val="0"/>
        <w:ind w:left="720" w:hanging="720"/>
        <w:rPr>
          <w:szCs w:val="18"/>
        </w:rPr>
      </w:pPr>
      <w:r w:rsidRPr="00961A08">
        <w:rPr>
          <w:szCs w:val="18"/>
        </w:rPr>
        <w:t xml:space="preserve">Bentes, S. R. (2015). A comparative analysis of the predictive power of implied volatility indices and GARCH forecasted volatility. </w:t>
      </w:r>
      <w:r w:rsidRPr="00961A08">
        <w:rPr>
          <w:i/>
          <w:iCs/>
          <w:szCs w:val="18"/>
        </w:rPr>
        <w:t>Physica A: Statistical Mechanics and its Applications, 424</w:t>
      </w:r>
      <w:r w:rsidRPr="00961A08">
        <w:rPr>
          <w:szCs w:val="18"/>
        </w:rPr>
        <w:t xml:space="preserve">(0), 105-112. </w:t>
      </w:r>
    </w:p>
    <w:p w:rsidR="009E1F70" w:rsidRPr="00961A08" w:rsidRDefault="009E1F70" w:rsidP="009E1F70">
      <w:pPr>
        <w:autoSpaceDE w:val="0"/>
        <w:autoSpaceDN w:val="0"/>
        <w:adjustRightInd w:val="0"/>
        <w:ind w:left="720" w:hanging="720"/>
        <w:rPr>
          <w:szCs w:val="18"/>
        </w:rPr>
      </w:pPr>
    </w:p>
    <w:p w:rsidR="009E1F70" w:rsidRDefault="009E1F70" w:rsidP="009E1F70">
      <w:pPr>
        <w:autoSpaceDE w:val="0"/>
        <w:autoSpaceDN w:val="0"/>
        <w:adjustRightInd w:val="0"/>
        <w:ind w:left="720" w:hanging="720"/>
        <w:rPr>
          <w:szCs w:val="18"/>
        </w:rPr>
      </w:pPr>
      <w:r w:rsidRPr="00961A08">
        <w:rPr>
          <w:szCs w:val="18"/>
        </w:rPr>
        <w:t xml:space="preserve">Boscaljon, B., Filbeck, G., &amp; Zhao, X. (2011). Market timing using the VIX for style rotation. </w:t>
      </w:r>
      <w:r w:rsidRPr="00961A08">
        <w:rPr>
          <w:i/>
          <w:iCs/>
          <w:szCs w:val="18"/>
        </w:rPr>
        <w:t>Financial Services Review, 20</w:t>
      </w:r>
      <w:r w:rsidRPr="00961A08">
        <w:rPr>
          <w:szCs w:val="18"/>
        </w:rPr>
        <w:t xml:space="preserve">(1), 35-44. </w:t>
      </w:r>
    </w:p>
    <w:p w:rsidR="009E1F70" w:rsidRPr="00961A08" w:rsidRDefault="009E1F70" w:rsidP="009E1F70">
      <w:pPr>
        <w:autoSpaceDE w:val="0"/>
        <w:autoSpaceDN w:val="0"/>
        <w:adjustRightInd w:val="0"/>
        <w:ind w:left="720" w:hanging="720"/>
        <w:rPr>
          <w:szCs w:val="18"/>
        </w:rPr>
      </w:pPr>
    </w:p>
    <w:p w:rsidR="009E1F70" w:rsidRPr="006706C6" w:rsidRDefault="009E1F70" w:rsidP="009E1F70">
      <w:pPr>
        <w:autoSpaceDE w:val="0"/>
        <w:autoSpaceDN w:val="0"/>
        <w:adjustRightInd w:val="0"/>
        <w:ind w:left="720" w:hanging="720"/>
        <w:rPr>
          <w:szCs w:val="18"/>
        </w:rPr>
      </w:pPr>
      <w:r>
        <w:rPr>
          <w:szCs w:val="18"/>
        </w:rPr>
        <w:t>Brenner, M., &amp; Ihzhazian, Y. (2012). Asset p</w:t>
      </w:r>
      <w:r w:rsidRPr="006706C6">
        <w:rPr>
          <w:szCs w:val="18"/>
        </w:rPr>
        <w:t xml:space="preserve">ricing and </w:t>
      </w:r>
      <w:r>
        <w:rPr>
          <w:szCs w:val="18"/>
        </w:rPr>
        <w:t>ambiguity: Empirical e</w:t>
      </w:r>
      <w:r w:rsidRPr="006706C6">
        <w:rPr>
          <w:szCs w:val="18"/>
        </w:rPr>
        <w:t xml:space="preserve">vidence. </w:t>
      </w:r>
      <w:r>
        <w:t>Retrieved from</w:t>
      </w:r>
      <w:r w:rsidRPr="006706C6">
        <w:t xml:space="preserve"> </w:t>
      </w:r>
      <w:hyperlink r:id="rId15" w:tgtFrame="_blank" w:history="1">
        <w:r w:rsidRPr="006706C6">
          <w:rPr>
            <w:rStyle w:val="Hyperlink"/>
            <w:szCs w:val="18"/>
          </w:rPr>
          <w:t>http://ssrn.com/abstract=1996802</w:t>
        </w:r>
      </w:hyperlink>
      <w:r>
        <w:rPr>
          <w:szCs w:val="18"/>
        </w:rPr>
        <w:t>.</w:t>
      </w:r>
    </w:p>
    <w:p w:rsidR="009E1F70" w:rsidRDefault="009E1F70" w:rsidP="009E1F70">
      <w:pPr>
        <w:autoSpaceDE w:val="0"/>
        <w:autoSpaceDN w:val="0"/>
        <w:adjustRightInd w:val="0"/>
        <w:ind w:left="720" w:hanging="720"/>
        <w:rPr>
          <w:szCs w:val="18"/>
        </w:rPr>
      </w:pPr>
    </w:p>
    <w:p w:rsidR="0048741F" w:rsidRPr="0048741F" w:rsidRDefault="0048741F" w:rsidP="0048741F">
      <w:pPr>
        <w:autoSpaceDE w:val="0"/>
        <w:autoSpaceDN w:val="0"/>
        <w:adjustRightInd w:val="0"/>
        <w:ind w:left="720" w:hanging="720"/>
        <w:rPr>
          <w:szCs w:val="18"/>
        </w:rPr>
      </w:pPr>
      <w:r w:rsidRPr="0048741F">
        <w:rPr>
          <w:szCs w:val="18"/>
        </w:rPr>
        <w:t xml:space="preserve">Brous, P., Ince, U., &amp; Popova, I. (2010). Volatility forecasting and liquidity: Evidence from individual stocks. </w:t>
      </w:r>
      <w:r w:rsidRPr="0048741F">
        <w:rPr>
          <w:i/>
          <w:iCs/>
          <w:szCs w:val="18"/>
        </w:rPr>
        <w:t>J</w:t>
      </w:r>
      <w:r>
        <w:rPr>
          <w:i/>
          <w:iCs/>
          <w:szCs w:val="18"/>
        </w:rPr>
        <w:t>ournal of</w:t>
      </w:r>
      <w:r w:rsidRPr="0048741F">
        <w:rPr>
          <w:i/>
          <w:iCs/>
          <w:szCs w:val="18"/>
        </w:rPr>
        <w:t xml:space="preserve"> Deriv</w:t>
      </w:r>
      <w:r>
        <w:rPr>
          <w:i/>
          <w:iCs/>
          <w:szCs w:val="18"/>
        </w:rPr>
        <w:t xml:space="preserve">atives &amp; </w:t>
      </w:r>
      <w:r w:rsidRPr="0048741F">
        <w:rPr>
          <w:i/>
          <w:iCs/>
          <w:szCs w:val="18"/>
        </w:rPr>
        <w:t>Hedge Funds, 16</w:t>
      </w:r>
      <w:r w:rsidRPr="0048741F">
        <w:rPr>
          <w:szCs w:val="18"/>
        </w:rPr>
        <w:t xml:space="preserve">(2), 144-159. </w:t>
      </w:r>
    </w:p>
    <w:p w:rsidR="0048741F" w:rsidRPr="006706C6" w:rsidRDefault="0048741F" w:rsidP="009E1F70">
      <w:pPr>
        <w:autoSpaceDE w:val="0"/>
        <w:autoSpaceDN w:val="0"/>
        <w:adjustRightInd w:val="0"/>
        <w:ind w:left="720" w:hanging="720"/>
        <w:rPr>
          <w:szCs w:val="18"/>
        </w:rPr>
      </w:pPr>
    </w:p>
    <w:p w:rsidR="009E1F70" w:rsidRDefault="009E1F70" w:rsidP="009E1F70">
      <w:pPr>
        <w:autoSpaceDE w:val="0"/>
        <w:autoSpaceDN w:val="0"/>
        <w:adjustRightInd w:val="0"/>
        <w:ind w:left="720" w:hanging="720"/>
        <w:rPr>
          <w:szCs w:val="18"/>
        </w:rPr>
      </w:pPr>
      <w:r w:rsidRPr="00961A08">
        <w:rPr>
          <w:szCs w:val="18"/>
        </w:rPr>
        <w:t xml:space="preserve">Canina, L., &amp; Figlewski, S. (1993). The </w:t>
      </w:r>
      <w:r>
        <w:rPr>
          <w:szCs w:val="18"/>
        </w:rPr>
        <w:t>informational content of implied v</w:t>
      </w:r>
      <w:r w:rsidRPr="00961A08">
        <w:rPr>
          <w:szCs w:val="18"/>
        </w:rPr>
        <w:t xml:space="preserve">olatility. </w:t>
      </w:r>
      <w:r w:rsidRPr="00961A08">
        <w:rPr>
          <w:i/>
          <w:iCs/>
          <w:szCs w:val="18"/>
        </w:rPr>
        <w:t>The Review of Financial Studies, 6</w:t>
      </w:r>
      <w:r w:rsidRPr="00961A08">
        <w:rPr>
          <w:szCs w:val="18"/>
        </w:rPr>
        <w:t xml:space="preserve">(3), 659-681. </w:t>
      </w:r>
    </w:p>
    <w:p w:rsidR="009E1F70" w:rsidRPr="00961A08" w:rsidRDefault="009E1F70" w:rsidP="009E1F70">
      <w:pPr>
        <w:autoSpaceDE w:val="0"/>
        <w:autoSpaceDN w:val="0"/>
        <w:adjustRightInd w:val="0"/>
        <w:ind w:left="720" w:hanging="720"/>
        <w:rPr>
          <w:szCs w:val="18"/>
        </w:rPr>
      </w:pPr>
    </w:p>
    <w:p w:rsidR="009E1F70" w:rsidRDefault="009E1F70" w:rsidP="009E1F70">
      <w:pPr>
        <w:autoSpaceDE w:val="0"/>
        <w:autoSpaceDN w:val="0"/>
        <w:adjustRightInd w:val="0"/>
        <w:ind w:left="720" w:hanging="720"/>
        <w:rPr>
          <w:szCs w:val="18"/>
        </w:rPr>
      </w:pPr>
      <w:r w:rsidRPr="006706C6">
        <w:rPr>
          <w:szCs w:val="18"/>
        </w:rPr>
        <w:t>CBOE (2012).</w:t>
      </w:r>
      <w:r w:rsidR="00D874AD">
        <w:rPr>
          <w:szCs w:val="18"/>
        </w:rPr>
        <w:t xml:space="preserve"> </w:t>
      </w:r>
      <w:r w:rsidRPr="006706C6">
        <w:rPr>
          <w:szCs w:val="18"/>
        </w:rPr>
        <w:t>Double the Fun with CB</w:t>
      </w:r>
      <w:r>
        <w:rPr>
          <w:szCs w:val="18"/>
        </w:rPr>
        <w:t xml:space="preserve">OE’s VVIX Index. </w:t>
      </w:r>
      <w:r>
        <w:t>Retrieved from</w:t>
      </w:r>
      <w:r w:rsidRPr="006706C6">
        <w:t xml:space="preserve"> </w:t>
      </w:r>
      <w:hyperlink r:id="rId16" w:history="1">
        <w:r w:rsidRPr="006706C6">
          <w:rPr>
            <w:rStyle w:val="Hyperlink"/>
            <w:szCs w:val="18"/>
          </w:rPr>
          <w:t>http://www.cboe.com/micro/vvix/</w:t>
        </w:r>
      </w:hyperlink>
      <w:r w:rsidRPr="006706C6">
        <w:rPr>
          <w:szCs w:val="18"/>
        </w:rPr>
        <w:t>.</w:t>
      </w:r>
    </w:p>
    <w:p w:rsidR="009E1F70" w:rsidRDefault="009E1F70" w:rsidP="009E1F70">
      <w:pPr>
        <w:autoSpaceDE w:val="0"/>
        <w:autoSpaceDN w:val="0"/>
        <w:adjustRightInd w:val="0"/>
        <w:ind w:left="720" w:hanging="720"/>
        <w:rPr>
          <w:szCs w:val="18"/>
        </w:rPr>
      </w:pPr>
    </w:p>
    <w:p w:rsidR="009E1F70" w:rsidRDefault="009E1F70" w:rsidP="009E1F70">
      <w:pPr>
        <w:autoSpaceDE w:val="0"/>
        <w:autoSpaceDN w:val="0"/>
        <w:adjustRightInd w:val="0"/>
        <w:ind w:left="720" w:hanging="720"/>
        <w:rPr>
          <w:szCs w:val="18"/>
        </w:rPr>
      </w:pPr>
      <w:r w:rsidRPr="00961A08">
        <w:rPr>
          <w:szCs w:val="18"/>
        </w:rPr>
        <w:lastRenderedPageBreak/>
        <w:t xml:space="preserve">Chan, W. H., Jha, R., &amp; Kalimipalli, M. (2009). The economic value of using realized volatility in forecasting future implied volatility. </w:t>
      </w:r>
      <w:r w:rsidRPr="00961A08">
        <w:rPr>
          <w:i/>
          <w:iCs/>
          <w:szCs w:val="18"/>
        </w:rPr>
        <w:t>Journal of Financial Research, 32</w:t>
      </w:r>
      <w:r w:rsidRPr="00961A08">
        <w:rPr>
          <w:szCs w:val="18"/>
        </w:rPr>
        <w:t xml:space="preserve">(3), 231-259. </w:t>
      </w:r>
    </w:p>
    <w:p w:rsidR="009E1F70" w:rsidRPr="00961A08" w:rsidRDefault="009E1F70" w:rsidP="009E1F70">
      <w:pPr>
        <w:autoSpaceDE w:val="0"/>
        <w:autoSpaceDN w:val="0"/>
        <w:adjustRightInd w:val="0"/>
        <w:ind w:left="720" w:hanging="720"/>
        <w:rPr>
          <w:szCs w:val="18"/>
        </w:rPr>
      </w:pPr>
    </w:p>
    <w:p w:rsidR="009E1F70" w:rsidRDefault="009E1F70" w:rsidP="009E1F70">
      <w:pPr>
        <w:autoSpaceDE w:val="0"/>
        <w:autoSpaceDN w:val="0"/>
        <w:adjustRightInd w:val="0"/>
        <w:ind w:left="720" w:hanging="720"/>
        <w:rPr>
          <w:szCs w:val="18"/>
        </w:rPr>
      </w:pPr>
      <w:r w:rsidRPr="00961A08">
        <w:rPr>
          <w:szCs w:val="18"/>
        </w:rPr>
        <w:t xml:space="preserve">Chng, M., &amp; Gannon, G. (2003). Contemporaneous intraday volume, option, and futures volatility transmissions across parallel markets. </w:t>
      </w:r>
      <w:r w:rsidRPr="00961A08">
        <w:rPr>
          <w:i/>
          <w:iCs/>
          <w:szCs w:val="18"/>
        </w:rPr>
        <w:t>International Review of Financial Analysis, 12</w:t>
      </w:r>
      <w:r w:rsidRPr="00961A08">
        <w:rPr>
          <w:szCs w:val="18"/>
        </w:rPr>
        <w:t xml:space="preserve">(1), 49-68. </w:t>
      </w:r>
    </w:p>
    <w:p w:rsidR="009E1F70" w:rsidRPr="00961A08" w:rsidRDefault="009E1F70" w:rsidP="009E1F70">
      <w:pPr>
        <w:autoSpaceDE w:val="0"/>
        <w:autoSpaceDN w:val="0"/>
        <w:adjustRightInd w:val="0"/>
        <w:ind w:left="720" w:hanging="720"/>
        <w:rPr>
          <w:szCs w:val="18"/>
        </w:rPr>
      </w:pPr>
    </w:p>
    <w:p w:rsidR="009E1F70" w:rsidRDefault="009E1F70" w:rsidP="009E1F70">
      <w:pPr>
        <w:autoSpaceDE w:val="0"/>
        <w:autoSpaceDN w:val="0"/>
        <w:adjustRightInd w:val="0"/>
        <w:ind w:left="720" w:hanging="720"/>
        <w:rPr>
          <w:szCs w:val="18"/>
        </w:rPr>
      </w:pPr>
      <w:r w:rsidRPr="00961A08">
        <w:rPr>
          <w:szCs w:val="18"/>
        </w:rPr>
        <w:t>Christoffersen</w:t>
      </w:r>
      <w:r>
        <w:rPr>
          <w:szCs w:val="18"/>
        </w:rPr>
        <w:t>, P., &amp; Diebold, F. X. (2002)</w:t>
      </w:r>
      <w:r w:rsidRPr="00961A08">
        <w:rPr>
          <w:szCs w:val="18"/>
        </w:rPr>
        <w:t xml:space="preserve"> Financial </w:t>
      </w:r>
      <w:r>
        <w:rPr>
          <w:szCs w:val="18"/>
        </w:rPr>
        <w:t>asset returns, m</w:t>
      </w:r>
      <w:r w:rsidRPr="00961A08">
        <w:rPr>
          <w:szCs w:val="18"/>
        </w:rPr>
        <w:t xml:space="preserve">arket </w:t>
      </w:r>
      <w:r>
        <w:rPr>
          <w:szCs w:val="18"/>
        </w:rPr>
        <w:t>timing, and volatility d</w:t>
      </w:r>
      <w:r w:rsidRPr="00961A08">
        <w:rPr>
          <w:szCs w:val="18"/>
        </w:rPr>
        <w:t>ynamics</w:t>
      </w:r>
      <w:r>
        <w:rPr>
          <w:szCs w:val="18"/>
        </w:rPr>
        <w:t>.</w:t>
      </w:r>
      <w:r w:rsidRPr="00961A08">
        <w:rPr>
          <w:szCs w:val="18"/>
        </w:rPr>
        <w:t xml:space="preserve"> </w:t>
      </w:r>
      <w:r>
        <w:rPr>
          <w:szCs w:val="18"/>
        </w:rPr>
        <w:t xml:space="preserve">Retreived from </w:t>
      </w:r>
      <w:hyperlink r:id="rId17" w:tgtFrame="_blank" w:history="1">
        <w:r w:rsidRPr="00961A08">
          <w:rPr>
            <w:rStyle w:val="Hyperlink"/>
            <w:szCs w:val="18"/>
          </w:rPr>
          <w:t>http://ssrn.com/abstract=306127</w:t>
        </w:r>
      </w:hyperlink>
      <w:r>
        <w:rPr>
          <w:szCs w:val="18"/>
        </w:rPr>
        <w:t>.</w:t>
      </w:r>
    </w:p>
    <w:p w:rsidR="0062206A" w:rsidRDefault="0062206A" w:rsidP="009E1F70">
      <w:pPr>
        <w:autoSpaceDE w:val="0"/>
        <w:autoSpaceDN w:val="0"/>
        <w:adjustRightInd w:val="0"/>
        <w:ind w:left="720" w:hanging="720"/>
        <w:rPr>
          <w:szCs w:val="18"/>
        </w:rPr>
      </w:pPr>
    </w:p>
    <w:p w:rsidR="009E1F70" w:rsidRDefault="009E1F70" w:rsidP="009E1F70">
      <w:pPr>
        <w:autoSpaceDE w:val="0"/>
        <w:autoSpaceDN w:val="0"/>
        <w:adjustRightInd w:val="0"/>
        <w:ind w:left="720" w:hanging="720"/>
        <w:rPr>
          <w:szCs w:val="18"/>
        </w:rPr>
      </w:pPr>
      <w:r w:rsidRPr="00961A08">
        <w:rPr>
          <w:szCs w:val="18"/>
        </w:rPr>
        <w:t xml:space="preserve">Copeland, M. M., &amp; </w:t>
      </w:r>
      <w:r>
        <w:rPr>
          <w:szCs w:val="18"/>
        </w:rPr>
        <w:t>Copeland, T. E. (1999). Market timing: Style and size rotation u</w:t>
      </w:r>
      <w:r w:rsidRPr="00961A08">
        <w:rPr>
          <w:szCs w:val="18"/>
        </w:rPr>
        <w:t xml:space="preserve">sing the VIX. </w:t>
      </w:r>
      <w:r w:rsidRPr="00961A08">
        <w:rPr>
          <w:i/>
          <w:iCs/>
          <w:szCs w:val="18"/>
        </w:rPr>
        <w:t>Financial Analysts Journal, 55</w:t>
      </w:r>
      <w:r w:rsidRPr="00961A08">
        <w:rPr>
          <w:szCs w:val="18"/>
        </w:rPr>
        <w:t xml:space="preserve">(2), 73-81. </w:t>
      </w:r>
    </w:p>
    <w:p w:rsidR="009E1F70" w:rsidRDefault="009E1F70" w:rsidP="009E1F70">
      <w:pPr>
        <w:autoSpaceDE w:val="0"/>
        <w:autoSpaceDN w:val="0"/>
        <w:adjustRightInd w:val="0"/>
        <w:ind w:left="720" w:hanging="720"/>
        <w:rPr>
          <w:szCs w:val="18"/>
        </w:rPr>
      </w:pPr>
    </w:p>
    <w:p w:rsidR="0048741F" w:rsidRPr="0048741F" w:rsidRDefault="0048741F" w:rsidP="0048741F">
      <w:pPr>
        <w:autoSpaceDE w:val="0"/>
        <w:autoSpaceDN w:val="0"/>
        <w:adjustRightInd w:val="0"/>
        <w:ind w:left="720" w:hanging="720"/>
        <w:rPr>
          <w:szCs w:val="18"/>
        </w:rPr>
      </w:pPr>
      <w:r w:rsidRPr="0048741F">
        <w:rPr>
          <w:szCs w:val="18"/>
        </w:rPr>
        <w:t xml:space="preserve">DeMiguel, V., Plyakha, Y., Uppal, R., </w:t>
      </w:r>
      <w:r>
        <w:rPr>
          <w:szCs w:val="18"/>
        </w:rPr>
        <w:t>&amp; Vilkov, G. (2013). Improving p</w:t>
      </w:r>
      <w:r w:rsidRPr="0048741F">
        <w:rPr>
          <w:szCs w:val="18"/>
        </w:rPr>
        <w:t xml:space="preserve">ortfolio </w:t>
      </w:r>
      <w:r>
        <w:rPr>
          <w:szCs w:val="18"/>
        </w:rPr>
        <w:t>s</w:t>
      </w:r>
      <w:r w:rsidRPr="0048741F">
        <w:rPr>
          <w:szCs w:val="18"/>
        </w:rPr>
        <w:t xml:space="preserve">election </w:t>
      </w:r>
      <w:r>
        <w:rPr>
          <w:szCs w:val="18"/>
        </w:rPr>
        <w:t>using o</w:t>
      </w:r>
      <w:r w:rsidRPr="0048741F">
        <w:rPr>
          <w:szCs w:val="18"/>
        </w:rPr>
        <w:t>ption-</w:t>
      </w:r>
      <w:r>
        <w:rPr>
          <w:szCs w:val="18"/>
        </w:rPr>
        <w:t>i</w:t>
      </w:r>
      <w:r w:rsidRPr="0048741F">
        <w:rPr>
          <w:szCs w:val="18"/>
        </w:rPr>
        <w:t xml:space="preserve">mplied </w:t>
      </w:r>
      <w:r>
        <w:rPr>
          <w:szCs w:val="18"/>
        </w:rPr>
        <w:t>v</w:t>
      </w:r>
      <w:r w:rsidRPr="0048741F">
        <w:rPr>
          <w:szCs w:val="18"/>
        </w:rPr>
        <w:t xml:space="preserve">olatility and </w:t>
      </w:r>
      <w:r>
        <w:rPr>
          <w:szCs w:val="18"/>
        </w:rPr>
        <w:t>s</w:t>
      </w:r>
      <w:r w:rsidRPr="0048741F">
        <w:rPr>
          <w:szCs w:val="18"/>
        </w:rPr>
        <w:t xml:space="preserve">kewness. </w:t>
      </w:r>
      <w:r w:rsidRPr="0048741F">
        <w:rPr>
          <w:i/>
          <w:iCs/>
          <w:szCs w:val="18"/>
        </w:rPr>
        <w:t>Journal of Financial and Quantitative Analysis, 48</w:t>
      </w:r>
      <w:r w:rsidRPr="0048741F">
        <w:rPr>
          <w:szCs w:val="18"/>
        </w:rPr>
        <w:t xml:space="preserve">(06), 1813-1845. </w:t>
      </w:r>
    </w:p>
    <w:p w:rsidR="0048741F" w:rsidRDefault="0048741F" w:rsidP="0062206A">
      <w:pPr>
        <w:autoSpaceDE w:val="0"/>
        <w:autoSpaceDN w:val="0"/>
        <w:adjustRightInd w:val="0"/>
        <w:ind w:left="720" w:hanging="720"/>
        <w:rPr>
          <w:szCs w:val="18"/>
        </w:rPr>
      </w:pPr>
    </w:p>
    <w:p w:rsidR="0062206A" w:rsidRPr="0062206A" w:rsidRDefault="0062206A" w:rsidP="0062206A">
      <w:pPr>
        <w:autoSpaceDE w:val="0"/>
        <w:autoSpaceDN w:val="0"/>
        <w:adjustRightInd w:val="0"/>
        <w:ind w:left="720" w:hanging="720"/>
        <w:rPr>
          <w:szCs w:val="18"/>
        </w:rPr>
      </w:pPr>
      <w:r>
        <w:rPr>
          <w:szCs w:val="18"/>
        </w:rPr>
        <w:t>Ellsberg, D. (1961). Risk, ambiguity, and the savage a</w:t>
      </w:r>
      <w:r w:rsidRPr="0062206A">
        <w:rPr>
          <w:szCs w:val="18"/>
        </w:rPr>
        <w:t xml:space="preserve">xioms. </w:t>
      </w:r>
      <w:r w:rsidRPr="0062206A">
        <w:rPr>
          <w:i/>
          <w:iCs/>
          <w:szCs w:val="18"/>
        </w:rPr>
        <w:t>The Quarterly Journal of Economics, 75</w:t>
      </w:r>
      <w:r w:rsidRPr="0062206A">
        <w:rPr>
          <w:szCs w:val="18"/>
        </w:rPr>
        <w:t xml:space="preserve">(4), 643-669. </w:t>
      </w:r>
    </w:p>
    <w:p w:rsidR="0062206A" w:rsidRPr="00961A08" w:rsidRDefault="0062206A" w:rsidP="009E1F70">
      <w:pPr>
        <w:autoSpaceDE w:val="0"/>
        <w:autoSpaceDN w:val="0"/>
        <w:adjustRightInd w:val="0"/>
        <w:ind w:left="720" w:hanging="720"/>
        <w:rPr>
          <w:szCs w:val="18"/>
        </w:rPr>
      </w:pPr>
    </w:p>
    <w:p w:rsidR="009E1F70" w:rsidRDefault="009E1F70" w:rsidP="009E1F70">
      <w:pPr>
        <w:autoSpaceDE w:val="0"/>
        <w:autoSpaceDN w:val="0"/>
        <w:adjustRightInd w:val="0"/>
        <w:ind w:left="720" w:hanging="720"/>
        <w:rPr>
          <w:szCs w:val="18"/>
        </w:rPr>
      </w:pPr>
      <w:r w:rsidRPr="00961A08">
        <w:rPr>
          <w:szCs w:val="18"/>
        </w:rPr>
        <w:t xml:space="preserve">French, K. R., Schwert, G. W., &amp; Stambaugh, R. F. (1987). Expected stock returns and volatility. </w:t>
      </w:r>
      <w:r w:rsidRPr="00961A08">
        <w:rPr>
          <w:i/>
          <w:iCs/>
          <w:szCs w:val="18"/>
        </w:rPr>
        <w:t>Journal of Financial Economics, 19</w:t>
      </w:r>
      <w:r w:rsidRPr="00961A08">
        <w:rPr>
          <w:szCs w:val="18"/>
        </w:rPr>
        <w:t xml:space="preserve">(1), 3-29. </w:t>
      </w:r>
    </w:p>
    <w:p w:rsidR="009E1F70" w:rsidRPr="00961A08" w:rsidRDefault="009E1F70" w:rsidP="009E1F70">
      <w:pPr>
        <w:autoSpaceDE w:val="0"/>
        <w:autoSpaceDN w:val="0"/>
        <w:adjustRightInd w:val="0"/>
        <w:ind w:left="720" w:hanging="720"/>
        <w:rPr>
          <w:szCs w:val="18"/>
        </w:rPr>
      </w:pPr>
    </w:p>
    <w:p w:rsidR="0048741F" w:rsidRPr="0048741F" w:rsidRDefault="0048741F" w:rsidP="0048741F">
      <w:pPr>
        <w:autoSpaceDE w:val="0"/>
        <w:autoSpaceDN w:val="0"/>
        <w:adjustRightInd w:val="0"/>
        <w:ind w:left="720" w:hanging="720"/>
        <w:rPr>
          <w:szCs w:val="18"/>
        </w:rPr>
      </w:pPr>
      <w:r>
        <w:rPr>
          <w:szCs w:val="18"/>
        </w:rPr>
        <w:t>Giot, P. (2005). Relationships b</w:t>
      </w:r>
      <w:r w:rsidRPr="0048741F">
        <w:rPr>
          <w:szCs w:val="18"/>
        </w:rPr>
        <w:t xml:space="preserve">etween </w:t>
      </w:r>
      <w:r>
        <w:rPr>
          <w:szCs w:val="18"/>
        </w:rPr>
        <w:t>i</w:t>
      </w:r>
      <w:r w:rsidRPr="0048741F">
        <w:rPr>
          <w:szCs w:val="18"/>
        </w:rPr>
        <w:t xml:space="preserve">mplied </w:t>
      </w:r>
      <w:r>
        <w:rPr>
          <w:szCs w:val="18"/>
        </w:rPr>
        <w:t>v</w:t>
      </w:r>
      <w:r w:rsidRPr="0048741F">
        <w:rPr>
          <w:szCs w:val="18"/>
        </w:rPr>
        <w:t xml:space="preserve">olatility </w:t>
      </w:r>
      <w:r>
        <w:rPr>
          <w:szCs w:val="18"/>
        </w:rPr>
        <w:t>indexes and stock index r</w:t>
      </w:r>
      <w:r w:rsidRPr="0048741F">
        <w:rPr>
          <w:szCs w:val="18"/>
        </w:rPr>
        <w:t xml:space="preserve">eturns. </w:t>
      </w:r>
      <w:r w:rsidRPr="0048741F">
        <w:rPr>
          <w:i/>
          <w:iCs/>
          <w:szCs w:val="18"/>
        </w:rPr>
        <w:t>Journal of Portfolio Management, 31</w:t>
      </w:r>
      <w:r w:rsidRPr="0048741F">
        <w:rPr>
          <w:szCs w:val="18"/>
        </w:rPr>
        <w:t xml:space="preserve">(3), 92-100. </w:t>
      </w:r>
    </w:p>
    <w:p w:rsidR="0048741F" w:rsidRDefault="0048741F" w:rsidP="009E1F70">
      <w:pPr>
        <w:autoSpaceDE w:val="0"/>
        <w:autoSpaceDN w:val="0"/>
        <w:adjustRightInd w:val="0"/>
        <w:ind w:left="720" w:hanging="720"/>
        <w:rPr>
          <w:szCs w:val="18"/>
        </w:rPr>
      </w:pPr>
    </w:p>
    <w:p w:rsidR="009E1F70" w:rsidRDefault="009E1F70" w:rsidP="009E1F70">
      <w:pPr>
        <w:autoSpaceDE w:val="0"/>
        <w:autoSpaceDN w:val="0"/>
        <w:adjustRightInd w:val="0"/>
        <w:ind w:left="720" w:hanging="720"/>
        <w:rPr>
          <w:szCs w:val="18"/>
        </w:rPr>
      </w:pPr>
      <w:r w:rsidRPr="00961A08">
        <w:rPr>
          <w:szCs w:val="18"/>
        </w:rPr>
        <w:t xml:space="preserve">Goldwhite, </w:t>
      </w:r>
      <w:r>
        <w:rPr>
          <w:szCs w:val="18"/>
        </w:rPr>
        <w:t>P. (2009). Diversification and r</w:t>
      </w:r>
      <w:r w:rsidRPr="00961A08">
        <w:rPr>
          <w:szCs w:val="18"/>
        </w:rPr>
        <w:t xml:space="preserve">isk </w:t>
      </w:r>
      <w:r>
        <w:rPr>
          <w:szCs w:val="18"/>
        </w:rPr>
        <w:t>management: What v</w:t>
      </w:r>
      <w:r w:rsidRPr="00961A08">
        <w:rPr>
          <w:szCs w:val="18"/>
        </w:rPr>
        <w:t xml:space="preserve">olatility </w:t>
      </w:r>
      <w:r>
        <w:rPr>
          <w:szCs w:val="18"/>
        </w:rPr>
        <w:t>tells u</w:t>
      </w:r>
      <w:r w:rsidRPr="00961A08">
        <w:rPr>
          <w:szCs w:val="18"/>
        </w:rPr>
        <w:t xml:space="preserve">s. </w:t>
      </w:r>
      <w:r w:rsidRPr="00961A08">
        <w:rPr>
          <w:i/>
          <w:iCs/>
          <w:szCs w:val="18"/>
        </w:rPr>
        <w:t>Journal of Investing, 18</w:t>
      </w:r>
      <w:r w:rsidRPr="00961A08">
        <w:rPr>
          <w:szCs w:val="18"/>
        </w:rPr>
        <w:t xml:space="preserve">(3), 40-48. </w:t>
      </w:r>
    </w:p>
    <w:p w:rsidR="009E1F70" w:rsidRPr="00961A08" w:rsidRDefault="009E1F70" w:rsidP="009E1F70">
      <w:pPr>
        <w:autoSpaceDE w:val="0"/>
        <w:autoSpaceDN w:val="0"/>
        <w:adjustRightInd w:val="0"/>
        <w:ind w:left="720" w:hanging="720"/>
        <w:rPr>
          <w:szCs w:val="18"/>
        </w:rPr>
      </w:pPr>
    </w:p>
    <w:p w:rsidR="009E1F70" w:rsidRDefault="009E1F70" w:rsidP="009E1F70">
      <w:pPr>
        <w:autoSpaceDE w:val="0"/>
        <w:autoSpaceDN w:val="0"/>
        <w:adjustRightInd w:val="0"/>
        <w:ind w:left="720" w:hanging="720"/>
        <w:rPr>
          <w:szCs w:val="18"/>
        </w:rPr>
      </w:pPr>
      <w:r w:rsidRPr="00961A08">
        <w:rPr>
          <w:szCs w:val="18"/>
        </w:rPr>
        <w:t>Jiang, G.</w:t>
      </w:r>
      <w:r>
        <w:rPr>
          <w:szCs w:val="18"/>
        </w:rPr>
        <w:t xml:space="preserve"> J., &amp; Tian, Y. S. (2005). The model-free implied volatility and its information c</w:t>
      </w:r>
      <w:r w:rsidRPr="00961A08">
        <w:rPr>
          <w:szCs w:val="18"/>
        </w:rPr>
        <w:t xml:space="preserve">ontent. </w:t>
      </w:r>
      <w:r w:rsidRPr="00961A08">
        <w:rPr>
          <w:i/>
          <w:iCs/>
          <w:szCs w:val="18"/>
        </w:rPr>
        <w:t>The Review of Financial Studies, 18</w:t>
      </w:r>
      <w:r w:rsidRPr="00961A08">
        <w:rPr>
          <w:szCs w:val="18"/>
        </w:rPr>
        <w:t xml:space="preserve">(4), 1305-1342. </w:t>
      </w:r>
    </w:p>
    <w:p w:rsidR="009E1F70" w:rsidRPr="00961A08" w:rsidRDefault="009E1F70" w:rsidP="009E1F70">
      <w:pPr>
        <w:autoSpaceDE w:val="0"/>
        <w:autoSpaceDN w:val="0"/>
        <w:adjustRightInd w:val="0"/>
        <w:ind w:left="720" w:hanging="720"/>
        <w:rPr>
          <w:szCs w:val="18"/>
        </w:rPr>
      </w:pPr>
    </w:p>
    <w:p w:rsidR="009E1F70" w:rsidRPr="006706C6" w:rsidRDefault="009E1F70" w:rsidP="009E1F70">
      <w:pPr>
        <w:autoSpaceDE w:val="0"/>
        <w:autoSpaceDN w:val="0"/>
        <w:adjustRightInd w:val="0"/>
        <w:ind w:left="720" w:hanging="720"/>
        <w:rPr>
          <w:szCs w:val="18"/>
        </w:rPr>
      </w:pPr>
      <w:r w:rsidRPr="006706C6">
        <w:rPr>
          <w:szCs w:val="18"/>
        </w:rPr>
        <w:t>Knight, Frank, (1921) Risk, uncertainty and profit, Boston, MA:  Hart Schaffner &amp; Marx, Houghton Mifflin Company.</w:t>
      </w:r>
    </w:p>
    <w:p w:rsidR="009E1F70" w:rsidRPr="006706C6" w:rsidRDefault="009E1F70" w:rsidP="009E1F70">
      <w:pPr>
        <w:autoSpaceDE w:val="0"/>
        <w:autoSpaceDN w:val="0"/>
        <w:adjustRightInd w:val="0"/>
        <w:ind w:left="720" w:hanging="720"/>
        <w:rPr>
          <w:szCs w:val="18"/>
        </w:rPr>
      </w:pPr>
    </w:p>
    <w:p w:rsidR="009E1F70" w:rsidRDefault="009E1F70" w:rsidP="009E1F70">
      <w:pPr>
        <w:autoSpaceDE w:val="0"/>
        <w:autoSpaceDN w:val="0"/>
        <w:adjustRightInd w:val="0"/>
        <w:ind w:left="720" w:hanging="720"/>
        <w:rPr>
          <w:szCs w:val="18"/>
        </w:rPr>
      </w:pPr>
      <w:r w:rsidRPr="006706C6">
        <w:rPr>
          <w:szCs w:val="18"/>
        </w:rPr>
        <w:t xml:space="preserve">Merton, R. C. (1980). On estimating the expected return on the market: An exploratory investigation. </w:t>
      </w:r>
      <w:r w:rsidRPr="006706C6">
        <w:rPr>
          <w:i/>
          <w:iCs/>
          <w:szCs w:val="18"/>
        </w:rPr>
        <w:t>Journal of Financial Economics, 8</w:t>
      </w:r>
      <w:r w:rsidRPr="006706C6">
        <w:rPr>
          <w:szCs w:val="18"/>
        </w:rPr>
        <w:t xml:space="preserve">(4), 323-361. </w:t>
      </w:r>
    </w:p>
    <w:p w:rsidR="009E1F70" w:rsidRDefault="009E1F70" w:rsidP="009E1F70">
      <w:pPr>
        <w:autoSpaceDE w:val="0"/>
        <w:autoSpaceDN w:val="0"/>
        <w:adjustRightInd w:val="0"/>
        <w:ind w:left="720" w:hanging="720"/>
        <w:rPr>
          <w:szCs w:val="18"/>
        </w:rPr>
      </w:pPr>
    </w:p>
    <w:p w:rsidR="009E1F70" w:rsidRDefault="009E1F70" w:rsidP="009E1F70">
      <w:pPr>
        <w:autoSpaceDE w:val="0"/>
        <w:autoSpaceDN w:val="0"/>
        <w:adjustRightInd w:val="0"/>
        <w:ind w:left="720" w:hanging="720"/>
        <w:rPr>
          <w:szCs w:val="18"/>
        </w:rPr>
      </w:pPr>
      <w:r w:rsidRPr="00961A08">
        <w:rPr>
          <w:szCs w:val="18"/>
        </w:rPr>
        <w:t xml:space="preserve">Puttonen, V., &amp; Seppä, T. (2007). Do style benchmarks differ? </w:t>
      </w:r>
      <w:r w:rsidRPr="00961A08">
        <w:rPr>
          <w:i/>
          <w:iCs/>
          <w:szCs w:val="18"/>
        </w:rPr>
        <w:t>Journal of Asset Management, 7</w:t>
      </w:r>
      <w:r w:rsidRPr="00961A08">
        <w:rPr>
          <w:szCs w:val="18"/>
        </w:rPr>
        <w:t xml:space="preserve">(6), 425-428. </w:t>
      </w:r>
    </w:p>
    <w:p w:rsidR="009E1F70" w:rsidRPr="00961A08" w:rsidRDefault="009E1F70" w:rsidP="009E1F70">
      <w:pPr>
        <w:autoSpaceDE w:val="0"/>
        <w:autoSpaceDN w:val="0"/>
        <w:adjustRightInd w:val="0"/>
        <w:ind w:left="720" w:hanging="720"/>
        <w:rPr>
          <w:szCs w:val="18"/>
        </w:rPr>
      </w:pPr>
    </w:p>
    <w:p w:rsidR="009E1F70" w:rsidRDefault="0062206A" w:rsidP="009E1F70">
      <w:pPr>
        <w:autoSpaceDE w:val="0"/>
        <w:autoSpaceDN w:val="0"/>
        <w:adjustRightInd w:val="0"/>
        <w:ind w:left="720" w:hanging="720"/>
        <w:rPr>
          <w:szCs w:val="18"/>
        </w:rPr>
      </w:pPr>
      <w:r>
        <w:rPr>
          <w:szCs w:val="18"/>
        </w:rPr>
        <w:t>Sarwar, G. (2005). The informational role of option trading volume in equity index options m</w:t>
      </w:r>
      <w:r w:rsidR="009E1F70" w:rsidRPr="00961A08">
        <w:rPr>
          <w:szCs w:val="18"/>
        </w:rPr>
        <w:t xml:space="preserve">arkets. </w:t>
      </w:r>
      <w:r w:rsidR="009E1F70" w:rsidRPr="00961A08">
        <w:rPr>
          <w:i/>
          <w:iCs/>
          <w:szCs w:val="18"/>
        </w:rPr>
        <w:t>Review of Quantitative Finance and Accounting, 24</w:t>
      </w:r>
      <w:r w:rsidR="009E1F70" w:rsidRPr="00961A08">
        <w:rPr>
          <w:szCs w:val="18"/>
        </w:rPr>
        <w:t xml:space="preserve">(2), 159-176. </w:t>
      </w:r>
    </w:p>
    <w:p w:rsidR="00507442" w:rsidRDefault="00507442" w:rsidP="009E1F70">
      <w:pPr>
        <w:autoSpaceDE w:val="0"/>
        <w:autoSpaceDN w:val="0"/>
        <w:adjustRightInd w:val="0"/>
        <w:ind w:left="720" w:hanging="720"/>
        <w:rPr>
          <w:szCs w:val="18"/>
        </w:rPr>
      </w:pPr>
    </w:p>
    <w:p w:rsidR="0048741F" w:rsidRDefault="00507442" w:rsidP="00507442">
      <w:pPr>
        <w:autoSpaceDE w:val="0"/>
        <w:autoSpaceDN w:val="0"/>
        <w:adjustRightInd w:val="0"/>
        <w:ind w:left="720" w:hanging="720"/>
        <w:rPr>
          <w:szCs w:val="18"/>
        </w:rPr>
      </w:pPr>
      <w:r w:rsidRPr="00507442">
        <w:rPr>
          <w:szCs w:val="18"/>
        </w:rPr>
        <w:t xml:space="preserve">Shyti, A. (2013). Over-confidence and entrepreneurial choice under ambiguity. Retrieved from </w:t>
      </w:r>
      <w:hyperlink r:id="rId18" w:history="1">
        <w:r w:rsidR="0048741F" w:rsidRPr="004E1761">
          <w:rPr>
            <w:rStyle w:val="Hyperlink"/>
            <w:szCs w:val="18"/>
          </w:rPr>
          <w:t>http://papers.ssrn.com/sol3/papers.cfm?abstract_id=2267968</w:t>
        </w:r>
      </w:hyperlink>
      <w:r w:rsidR="0048741F">
        <w:rPr>
          <w:szCs w:val="18"/>
        </w:rPr>
        <w:t>.</w:t>
      </w:r>
    </w:p>
    <w:p w:rsidR="004D5AC4" w:rsidRDefault="004D5AC4" w:rsidP="002A168D">
      <w:pPr>
        <w:autoSpaceDE w:val="0"/>
        <w:autoSpaceDN w:val="0"/>
        <w:adjustRightInd w:val="0"/>
        <w:ind w:left="720" w:hanging="720"/>
        <w:jc w:val="both"/>
        <w:rPr>
          <w:szCs w:val="18"/>
        </w:rPr>
      </w:pPr>
      <w:r>
        <w:rPr>
          <w:szCs w:val="18"/>
        </w:rPr>
        <w:lastRenderedPageBreak/>
        <w:t xml:space="preserve">Table 1  Exchange Traded Fund </w:t>
      </w:r>
      <w:r w:rsidR="00733CAF">
        <w:rPr>
          <w:szCs w:val="18"/>
        </w:rPr>
        <w:t xml:space="preserve">(ETF) </w:t>
      </w:r>
      <w:r w:rsidR="00980FF5">
        <w:rPr>
          <w:szCs w:val="18"/>
        </w:rPr>
        <w:t>descriptions,</w:t>
      </w:r>
      <w:r w:rsidR="009C5D46">
        <w:rPr>
          <w:szCs w:val="18"/>
        </w:rPr>
        <w:t xml:space="preserve"> as of June 1, 2015</w:t>
      </w:r>
    </w:p>
    <w:p w:rsidR="004D5AC4" w:rsidRDefault="004D5AC4" w:rsidP="002A168D">
      <w:pPr>
        <w:autoSpaceDE w:val="0"/>
        <w:autoSpaceDN w:val="0"/>
        <w:adjustRightInd w:val="0"/>
        <w:ind w:left="720" w:hanging="720"/>
        <w:jc w:val="both"/>
        <w:rPr>
          <w:szCs w:val="18"/>
        </w:rPr>
      </w:pPr>
    </w:p>
    <w:tbl>
      <w:tblPr>
        <w:tblW w:w="0" w:type="auto"/>
        <w:tblInd w:w="93" w:type="dxa"/>
        <w:tblLook w:val="04A0" w:firstRow="1" w:lastRow="0" w:firstColumn="1" w:lastColumn="0" w:noHBand="0" w:noVBand="1"/>
      </w:tblPr>
      <w:tblGrid>
        <w:gridCol w:w="4223"/>
        <w:gridCol w:w="963"/>
        <w:gridCol w:w="1590"/>
        <w:gridCol w:w="1492"/>
        <w:gridCol w:w="1215"/>
      </w:tblGrid>
      <w:tr w:rsidR="009C5D46" w:rsidTr="009C5D46">
        <w:trPr>
          <w:trHeight w:val="705"/>
        </w:trPr>
        <w:tc>
          <w:tcPr>
            <w:tcW w:w="0" w:type="auto"/>
            <w:tcBorders>
              <w:top w:val="single" w:sz="4" w:space="0" w:color="auto"/>
              <w:left w:val="nil"/>
              <w:bottom w:val="single" w:sz="4" w:space="0" w:color="auto"/>
              <w:right w:val="nil"/>
            </w:tcBorders>
            <w:shd w:val="clear" w:color="auto" w:fill="auto"/>
            <w:noWrap/>
            <w:vAlign w:val="bottom"/>
            <w:hideMark/>
          </w:tcPr>
          <w:p w:rsidR="009C5D46" w:rsidRDefault="009C5D46">
            <w:pPr>
              <w:rPr>
                <w:color w:val="000000"/>
              </w:rPr>
            </w:pPr>
            <w:r>
              <w:rPr>
                <w:color w:val="000000"/>
              </w:rPr>
              <w:t>ETF</w:t>
            </w:r>
          </w:p>
        </w:tc>
        <w:tc>
          <w:tcPr>
            <w:tcW w:w="0" w:type="auto"/>
            <w:tcBorders>
              <w:top w:val="single" w:sz="4" w:space="0" w:color="auto"/>
              <w:left w:val="nil"/>
              <w:bottom w:val="single" w:sz="4" w:space="0" w:color="auto"/>
              <w:right w:val="nil"/>
            </w:tcBorders>
            <w:shd w:val="clear" w:color="auto" w:fill="auto"/>
            <w:noWrap/>
            <w:vAlign w:val="bottom"/>
            <w:hideMark/>
          </w:tcPr>
          <w:p w:rsidR="009C5D46" w:rsidRDefault="009C5D46">
            <w:pPr>
              <w:jc w:val="center"/>
              <w:rPr>
                <w:color w:val="000000"/>
              </w:rPr>
            </w:pPr>
            <w:r>
              <w:rPr>
                <w:color w:val="000000"/>
              </w:rPr>
              <w:t>Symbol</w:t>
            </w:r>
          </w:p>
        </w:tc>
        <w:tc>
          <w:tcPr>
            <w:tcW w:w="0" w:type="auto"/>
            <w:tcBorders>
              <w:top w:val="single" w:sz="4" w:space="0" w:color="auto"/>
              <w:left w:val="nil"/>
              <w:bottom w:val="single" w:sz="4" w:space="0" w:color="auto"/>
              <w:right w:val="nil"/>
            </w:tcBorders>
            <w:shd w:val="clear" w:color="auto" w:fill="auto"/>
            <w:noWrap/>
            <w:vAlign w:val="bottom"/>
            <w:hideMark/>
          </w:tcPr>
          <w:p w:rsidR="009C5D46" w:rsidRDefault="009C5D46">
            <w:pPr>
              <w:jc w:val="center"/>
              <w:rPr>
                <w:color w:val="000000"/>
              </w:rPr>
            </w:pPr>
            <w:r>
              <w:rPr>
                <w:color w:val="000000"/>
              </w:rPr>
              <w:t>Net Assets ($)</w:t>
            </w:r>
          </w:p>
        </w:tc>
        <w:tc>
          <w:tcPr>
            <w:tcW w:w="0" w:type="auto"/>
            <w:tcBorders>
              <w:top w:val="single" w:sz="4" w:space="0" w:color="auto"/>
              <w:left w:val="nil"/>
              <w:bottom w:val="single" w:sz="4" w:space="0" w:color="auto"/>
              <w:right w:val="nil"/>
            </w:tcBorders>
            <w:shd w:val="clear" w:color="auto" w:fill="auto"/>
            <w:vAlign w:val="bottom"/>
            <w:hideMark/>
          </w:tcPr>
          <w:p w:rsidR="009C5D46" w:rsidRDefault="009C5D46">
            <w:pPr>
              <w:jc w:val="center"/>
              <w:rPr>
                <w:color w:val="000000"/>
              </w:rPr>
            </w:pPr>
            <w:r>
              <w:rPr>
                <w:color w:val="000000"/>
              </w:rPr>
              <w:t>Average Daily Trading Volume ($)</w:t>
            </w:r>
          </w:p>
        </w:tc>
        <w:tc>
          <w:tcPr>
            <w:tcW w:w="0" w:type="auto"/>
            <w:tcBorders>
              <w:top w:val="single" w:sz="4" w:space="0" w:color="auto"/>
              <w:left w:val="nil"/>
              <w:bottom w:val="single" w:sz="4" w:space="0" w:color="auto"/>
              <w:right w:val="nil"/>
            </w:tcBorders>
            <w:shd w:val="clear" w:color="auto" w:fill="auto"/>
            <w:vAlign w:val="bottom"/>
            <w:hideMark/>
          </w:tcPr>
          <w:p w:rsidR="009C5D46" w:rsidRDefault="009C5D46">
            <w:pPr>
              <w:jc w:val="center"/>
              <w:rPr>
                <w:color w:val="000000"/>
              </w:rPr>
            </w:pPr>
            <w:r>
              <w:rPr>
                <w:color w:val="000000"/>
              </w:rPr>
              <w:t>Inception Date</w:t>
            </w:r>
          </w:p>
        </w:tc>
      </w:tr>
      <w:tr w:rsidR="009C5D46" w:rsidTr="009C5D46">
        <w:trPr>
          <w:trHeight w:val="315"/>
        </w:trPr>
        <w:tc>
          <w:tcPr>
            <w:tcW w:w="0" w:type="auto"/>
            <w:tcBorders>
              <w:top w:val="nil"/>
              <w:left w:val="nil"/>
              <w:bottom w:val="nil"/>
              <w:right w:val="nil"/>
            </w:tcBorders>
            <w:shd w:val="clear" w:color="auto" w:fill="auto"/>
            <w:noWrap/>
            <w:vAlign w:val="bottom"/>
            <w:hideMark/>
          </w:tcPr>
          <w:p w:rsidR="009C5D46" w:rsidRDefault="009C5D46">
            <w:pPr>
              <w:rPr>
                <w:color w:val="000000"/>
              </w:rPr>
            </w:pPr>
            <w:r>
              <w:rPr>
                <w:color w:val="000000"/>
              </w:rPr>
              <w:t>iShares S&amp;P Small-Cap 600 Value ETF</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IJS</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3.46B</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10.86M</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07/24/00</w:t>
            </w:r>
          </w:p>
        </w:tc>
      </w:tr>
      <w:tr w:rsidR="009C5D46" w:rsidTr="009C5D46">
        <w:trPr>
          <w:trHeight w:val="315"/>
        </w:trPr>
        <w:tc>
          <w:tcPr>
            <w:tcW w:w="0" w:type="auto"/>
            <w:tcBorders>
              <w:top w:val="nil"/>
              <w:left w:val="nil"/>
              <w:bottom w:val="nil"/>
              <w:right w:val="nil"/>
            </w:tcBorders>
            <w:shd w:val="clear" w:color="auto" w:fill="auto"/>
            <w:noWrap/>
            <w:vAlign w:val="bottom"/>
            <w:hideMark/>
          </w:tcPr>
          <w:p w:rsidR="009C5D46" w:rsidRDefault="009C5D46">
            <w:pPr>
              <w:rPr>
                <w:color w:val="000000"/>
              </w:rPr>
            </w:pPr>
            <w:r>
              <w:rPr>
                <w:color w:val="000000"/>
              </w:rPr>
              <w:t>iShares S&amp;P Small-Cap 600 Growth ETF</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IJT</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3.32B</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21.45M</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07/24/00</w:t>
            </w:r>
          </w:p>
        </w:tc>
      </w:tr>
      <w:tr w:rsidR="009C5D46" w:rsidTr="009C5D46">
        <w:trPr>
          <w:trHeight w:val="315"/>
        </w:trPr>
        <w:tc>
          <w:tcPr>
            <w:tcW w:w="0" w:type="auto"/>
            <w:tcBorders>
              <w:top w:val="nil"/>
              <w:left w:val="nil"/>
              <w:bottom w:val="nil"/>
              <w:right w:val="nil"/>
            </w:tcBorders>
            <w:shd w:val="clear" w:color="auto" w:fill="auto"/>
            <w:noWrap/>
            <w:vAlign w:val="bottom"/>
            <w:hideMark/>
          </w:tcPr>
          <w:p w:rsidR="009C5D46" w:rsidRDefault="009C5D46">
            <w:pPr>
              <w:rPr>
                <w:color w:val="000000"/>
              </w:rPr>
            </w:pPr>
            <w:r>
              <w:rPr>
                <w:color w:val="000000"/>
              </w:rPr>
              <w:t>iShares S&amp;P Mid-Cap 400 Value ETF</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IJJ</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4.33B</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9.64M</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07/24/00</w:t>
            </w:r>
          </w:p>
        </w:tc>
      </w:tr>
      <w:tr w:rsidR="009C5D46" w:rsidTr="009C5D46">
        <w:trPr>
          <w:trHeight w:val="315"/>
        </w:trPr>
        <w:tc>
          <w:tcPr>
            <w:tcW w:w="0" w:type="auto"/>
            <w:tcBorders>
              <w:top w:val="nil"/>
              <w:left w:val="nil"/>
              <w:bottom w:val="nil"/>
              <w:right w:val="nil"/>
            </w:tcBorders>
            <w:shd w:val="clear" w:color="auto" w:fill="auto"/>
            <w:noWrap/>
            <w:vAlign w:val="bottom"/>
            <w:hideMark/>
          </w:tcPr>
          <w:p w:rsidR="009C5D46" w:rsidRDefault="009C5D46">
            <w:pPr>
              <w:rPr>
                <w:color w:val="000000"/>
              </w:rPr>
            </w:pPr>
            <w:r>
              <w:rPr>
                <w:color w:val="000000"/>
              </w:rPr>
              <w:t>iShares S&amp;P Mid-Cap 400 Growth ETF</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IJK</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5.63B</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24.61M</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07/24/00</w:t>
            </w:r>
          </w:p>
        </w:tc>
      </w:tr>
      <w:tr w:rsidR="009C5D46" w:rsidTr="009C5D46">
        <w:trPr>
          <w:trHeight w:val="315"/>
        </w:trPr>
        <w:tc>
          <w:tcPr>
            <w:tcW w:w="0" w:type="auto"/>
            <w:tcBorders>
              <w:top w:val="nil"/>
              <w:left w:val="nil"/>
              <w:bottom w:val="nil"/>
              <w:right w:val="nil"/>
            </w:tcBorders>
            <w:shd w:val="clear" w:color="auto" w:fill="auto"/>
            <w:noWrap/>
            <w:vAlign w:val="bottom"/>
            <w:hideMark/>
          </w:tcPr>
          <w:p w:rsidR="009C5D46" w:rsidRDefault="009C5D46">
            <w:pPr>
              <w:rPr>
                <w:color w:val="000000"/>
              </w:rPr>
            </w:pPr>
            <w:r>
              <w:rPr>
                <w:color w:val="000000"/>
              </w:rPr>
              <w:t>iShares S&amp;P 500 Value ETF</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IVE</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8.34B</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59.68M</w:t>
            </w:r>
          </w:p>
        </w:tc>
        <w:tc>
          <w:tcPr>
            <w:tcW w:w="0" w:type="auto"/>
            <w:tcBorders>
              <w:top w:val="nil"/>
              <w:left w:val="nil"/>
              <w:bottom w:val="nil"/>
              <w:right w:val="nil"/>
            </w:tcBorders>
            <w:shd w:val="clear" w:color="auto" w:fill="auto"/>
            <w:noWrap/>
            <w:vAlign w:val="bottom"/>
            <w:hideMark/>
          </w:tcPr>
          <w:p w:rsidR="009C5D46" w:rsidRDefault="009C5D46">
            <w:pPr>
              <w:jc w:val="center"/>
              <w:rPr>
                <w:color w:val="000000"/>
              </w:rPr>
            </w:pPr>
            <w:r>
              <w:rPr>
                <w:color w:val="000000"/>
              </w:rPr>
              <w:t>05/22/00</w:t>
            </w:r>
          </w:p>
        </w:tc>
      </w:tr>
      <w:tr w:rsidR="009C5D46" w:rsidTr="009C5D46">
        <w:trPr>
          <w:trHeight w:val="315"/>
        </w:trPr>
        <w:tc>
          <w:tcPr>
            <w:tcW w:w="0" w:type="auto"/>
            <w:tcBorders>
              <w:top w:val="nil"/>
              <w:left w:val="nil"/>
              <w:bottom w:val="single" w:sz="4" w:space="0" w:color="auto"/>
              <w:right w:val="nil"/>
            </w:tcBorders>
            <w:shd w:val="clear" w:color="auto" w:fill="auto"/>
            <w:noWrap/>
            <w:vAlign w:val="bottom"/>
            <w:hideMark/>
          </w:tcPr>
          <w:p w:rsidR="009C5D46" w:rsidRDefault="009C5D46">
            <w:pPr>
              <w:rPr>
                <w:color w:val="000000"/>
              </w:rPr>
            </w:pPr>
            <w:r>
              <w:rPr>
                <w:color w:val="000000"/>
              </w:rPr>
              <w:t>iShares S&amp;P 500 Growth ETF</w:t>
            </w:r>
          </w:p>
        </w:tc>
        <w:tc>
          <w:tcPr>
            <w:tcW w:w="0" w:type="auto"/>
            <w:tcBorders>
              <w:top w:val="nil"/>
              <w:left w:val="nil"/>
              <w:bottom w:val="single" w:sz="4" w:space="0" w:color="auto"/>
              <w:right w:val="nil"/>
            </w:tcBorders>
            <w:shd w:val="clear" w:color="auto" w:fill="auto"/>
            <w:noWrap/>
            <w:vAlign w:val="bottom"/>
            <w:hideMark/>
          </w:tcPr>
          <w:p w:rsidR="009C5D46" w:rsidRDefault="009C5D46">
            <w:pPr>
              <w:jc w:val="center"/>
              <w:rPr>
                <w:color w:val="000000"/>
              </w:rPr>
            </w:pPr>
            <w:r>
              <w:rPr>
                <w:color w:val="000000"/>
              </w:rPr>
              <w:t>IVW</w:t>
            </w:r>
          </w:p>
        </w:tc>
        <w:tc>
          <w:tcPr>
            <w:tcW w:w="0" w:type="auto"/>
            <w:tcBorders>
              <w:top w:val="nil"/>
              <w:left w:val="nil"/>
              <w:bottom w:val="single" w:sz="4" w:space="0" w:color="auto"/>
              <w:right w:val="nil"/>
            </w:tcBorders>
            <w:shd w:val="clear" w:color="auto" w:fill="auto"/>
            <w:noWrap/>
            <w:vAlign w:val="bottom"/>
            <w:hideMark/>
          </w:tcPr>
          <w:p w:rsidR="009C5D46" w:rsidRDefault="009C5D46">
            <w:pPr>
              <w:jc w:val="center"/>
              <w:rPr>
                <w:color w:val="000000"/>
              </w:rPr>
            </w:pPr>
            <w:r>
              <w:rPr>
                <w:color w:val="000000"/>
              </w:rPr>
              <w:t>13.00B</w:t>
            </w:r>
          </w:p>
        </w:tc>
        <w:tc>
          <w:tcPr>
            <w:tcW w:w="0" w:type="auto"/>
            <w:tcBorders>
              <w:top w:val="nil"/>
              <w:left w:val="nil"/>
              <w:bottom w:val="single" w:sz="4" w:space="0" w:color="auto"/>
              <w:right w:val="nil"/>
            </w:tcBorders>
            <w:shd w:val="clear" w:color="auto" w:fill="auto"/>
            <w:noWrap/>
            <w:vAlign w:val="bottom"/>
            <w:hideMark/>
          </w:tcPr>
          <w:p w:rsidR="009C5D46" w:rsidRDefault="009C5D46">
            <w:pPr>
              <w:jc w:val="center"/>
              <w:rPr>
                <w:color w:val="000000"/>
              </w:rPr>
            </w:pPr>
            <w:r>
              <w:rPr>
                <w:color w:val="000000"/>
              </w:rPr>
              <w:t>92.68M</w:t>
            </w:r>
          </w:p>
        </w:tc>
        <w:tc>
          <w:tcPr>
            <w:tcW w:w="0" w:type="auto"/>
            <w:tcBorders>
              <w:top w:val="nil"/>
              <w:left w:val="nil"/>
              <w:bottom w:val="single" w:sz="4" w:space="0" w:color="auto"/>
              <w:right w:val="nil"/>
            </w:tcBorders>
            <w:shd w:val="clear" w:color="auto" w:fill="auto"/>
            <w:noWrap/>
            <w:vAlign w:val="bottom"/>
            <w:hideMark/>
          </w:tcPr>
          <w:p w:rsidR="009C5D46" w:rsidRDefault="009C5D46">
            <w:pPr>
              <w:jc w:val="center"/>
              <w:rPr>
                <w:color w:val="000000"/>
              </w:rPr>
            </w:pPr>
            <w:r>
              <w:rPr>
                <w:color w:val="000000"/>
              </w:rPr>
              <w:t>05/22/00</w:t>
            </w:r>
          </w:p>
        </w:tc>
      </w:tr>
    </w:tbl>
    <w:p w:rsidR="004D5AC4" w:rsidRDefault="004D5AC4" w:rsidP="002A168D">
      <w:pPr>
        <w:autoSpaceDE w:val="0"/>
        <w:autoSpaceDN w:val="0"/>
        <w:adjustRightInd w:val="0"/>
        <w:ind w:left="720" w:hanging="720"/>
        <w:jc w:val="both"/>
        <w:rPr>
          <w:szCs w:val="18"/>
        </w:rPr>
      </w:pPr>
    </w:p>
    <w:p w:rsidR="004D5AC4" w:rsidRDefault="004D5AC4" w:rsidP="002A168D">
      <w:pPr>
        <w:autoSpaceDE w:val="0"/>
        <w:autoSpaceDN w:val="0"/>
        <w:adjustRightInd w:val="0"/>
        <w:ind w:left="720" w:hanging="720"/>
        <w:jc w:val="both"/>
        <w:rPr>
          <w:szCs w:val="18"/>
        </w:rPr>
      </w:pPr>
    </w:p>
    <w:p w:rsidR="00733CAF" w:rsidRDefault="00733CAF" w:rsidP="002A168D">
      <w:pPr>
        <w:autoSpaceDE w:val="0"/>
        <w:autoSpaceDN w:val="0"/>
        <w:adjustRightInd w:val="0"/>
        <w:ind w:left="720" w:hanging="720"/>
        <w:jc w:val="both"/>
        <w:rPr>
          <w:szCs w:val="18"/>
        </w:rPr>
      </w:pPr>
    </w:p>
    <w:p w:rsidR="00733CAF" w:rsidRDefault="00733CAF" w:rsidP="002A168D">
      <w:pPr>
        <w:autoSpaceDE w:val="0"/>
        <w:autoSpaceDN w:val="0"/>
        <w:adjustRightInd w:val="0"/>
        <w:ind w:left="720" w:hanging="720"/>
        <w:jc w:val="both"/>
        <w:rPr>
          <w:szCs w:val="18"/>
        </w:rPr>
      </w:pPr>
    </w:p>
    <w:p w:rsidR="00733CAF" w:rsidRDefault="00733CAF" w:rsidP="002A168D">
      <w:pPr>
        <w:autoSpaceDE w:val="0"/>
        <w:autoSpaceDN w:val="0"/>
        <w:adjustRightInd w:val="0"/>
        <w:ind w:left="720" w:hanging="720"/>
        <w:jc w:val="both"/>
        <w:rPr>
          <w:szCs w:val="18"/>
        </w:rPr>
      </w:pPr>
    </w:p>
    <w:p w:rsidR="00733CAF" w:rsidRDefault="00733CAF" w:rsidP="002A168D">
      <w:pPr>
        <w:autoSpaceDE w:val="0"/>
        <w:autoSpaceDN w:val="0"/>
        <w:adjustRightInd w:val="0"/>
        <w:ind w:left="720" w:hanging="720"/>
        <w:jc w:val="both"/>
        <w:rPr>
          <w:szCs w:val="18"/>
        </w:rPr>
      </w:pPr>
    </w:p>
    <w:p w:rsidR="000A54B2" w:rsidRDefault="00733CAF" w:rsidP="002A168D">
      <w:pPr>
        <w:autoSpaceDE w:val="0"/>
        <w:autoSpaceDN w:val="0"/>
        <w:adjustRightInd w:val="0"/>
        <w:ind w:left="720" w:hanging="720"/>
        <w:jc w:val="both"/>
        <w:rPr>
          <w:szCs w:val="18"/>
        </w:rPr>
      </w:pPr>
      <w:r>
        <w:rPr>
          <w:szCs w:val="18"/>
        </w:rPr>
        <w:t>T</w:t>
      </w:r>
      <w:r w:rsidR="004D5AC4">
        <w:rPr>
          <w:szCs w:val="18"/>
        </w:rPr>
        <w:t>able 2</w:t>
      </w:r>
      <w:r w:rsidR="00717BF4">
        <w:rPr>
          <w:szCs w:val="18"/>
        </w:rPr>
        <w:t xml:space="preserve">  Sample summary statistics for volatility indices and ETFs, daily data from June 1, 2006 to December 31, 2014</w:t>
      </w:r>
    </w:p>
    <w:p w:rsidR="00717BF4" w:rsidRDefault="00717BF4" w:rsidP="002A168D">
      <w:pPr>
        <w:autoSpaceDE w:val="0"/>
        <w:autoSpaceDN w:val="0"/>
        <w:adjustRightInd w:val="0"/>
        <w:ind w:left="720" w:hanging="720"/>
        <w:jc w:val="both"/>
        <w:rPr>
          <w:szCs w:val="18"/>
        </w:rPr>
      </w:pPr>
    </w:p>
    <w:tbl>
      <w:tblPr>
        <w:tblW w:w="9117" w:type="dxa"/>
        <w:tblInd w:w="93" w:type="dxa"/>
        <w:tblLook w:val="04A0" w:firstRow="1" w:lastRow="0" w:firstColumn="1" w:lastColumn="0" w:noHBand="0" w:noVBand="1"/>
      </w:tblPr>
      <w:tblGrid>
        <w:gridCol w:w="1700"/>
        <w:gridCol w:w="963"/>
        <w:gridCol w:w="920"/>
        <w:gridCol w:w="920"/>
        <w:gridCol w:w="920"/>
        <w:gridCol w:w="1163"/>
        <w:gridCol w:w="1030"/>
        <w:gridCol w:w="920"/>
        <w:gridCol w:w="920"/>
      </w:tblGrid>
      <w:tr w:rsidR="00717BF4" w:rsidTr="00717BF4">
        <w:trPr>
          <w:trHeight w:val="315"/>
        </w:trPr>
        <w:tc>
          <w:tcPr>
            <w:tcW w:w="1700" w:type="dxa"/>
            <w:tcBorders>
              <w:top w:val="single" w:sz="4" w:space="0" w:color="auto"/>
              <w:left w:val="nil"/>
              <w:bottom w:val="single" w:sz="4" w:space="0" w:color="auto"/>
              <w:right w:val="nil"/>
            </w:tcBorders>
            <w:shd w:val="clear" w:color="auto" w:fill="auto"/>
            <w:noWrap/>
            <w:vAlign w:val="bottom"/>
            <w:hideMark/>
          </w:tcPr>
          <w:p w:rsidR="00717BF4" w:rsidRDefault="00717BF4">
            <w:pPr>
              <w:rPr>
                <w:color w:val="000000"/>
              </w:rPr>
            </w:pPr>
            <w:r>
              <w:rPr>
                <w:color w:val="000000"/>
              </w:rPr>
              <w:t>Variable</w:t>
            </w:r>
          </w:p>
        </w:tc>
        <w:tc>
          <w:tcPr>
            <w:tcW w:w="920" w:type="dxa"/>
            <w:tcBorders>
              <w:top w:val="single" w:sz="4" w:space="0" w:color="auto"/>
              <w:left w:val="nil"/>
              <w:bottom w:val="single" w:sz="4" w:space="0" w:color="auto"/>
              <w:right w:val="nil"/>
            </w:tcBorders>
            <w:shd w:val="clear" w:color="auto" w:fill="auto"/>
            <w:noWrap/>
            <w:vAlign w:val="bottom"/>
            <w:hideMark/>
          </w:tcPr>
          <w:p w:rsidR="00717BF4" w:rsidRDefault="00717BF4">
            <w:pPr>
              <w:jc w:val="center"/>
              <w:rPr>
                <w:color w:val="000000"/>
              </w:rPr>
            </w:pPr>
            <w:r>
              <w:rPr>
                <w:color w:val="000000"/>
              </w:rPr>
              <w:t>Symbol</w:t>
            </w:r>
          </w:p>
        </w:tc>
        <w:tc>
          <w:tcPr>
            <w:tcW w:w="920" w:type="dxa"/>
            <w:tcBorders>
              <w:top w:val="single" w:sz="4" w:space="0" w:color="auto"/>
              <w:left w:val="nil"/>
              <w:bottom w:val="single" w:sz="4" w:space="0" w:color="auto"/>
              <w:right w:val="nil"/>
            </w:tcBorders>
            <w:shd w:val="clear" w:color="auto" w:fill="auto"/>
            <w:noWrap/>
            <w:vAlign w:val="bottom"/>
            <w:hideMark/>
          </w:tcPr>
          <w:p w:rsidR="00717BF4" w:rsidRDefault="00717BF4">
            <w:pPr>
              <w:jc w:val="right"/>
              <w:rPr>
                <w:color w:val="000000"/>
              </w:rPr>
            </w:pPr>
            <w:r>
              <w:rPr>
                <w:color w:val="000000"/>
              </w:rPr>
              <w:t>n</w:t>
            </w:r>
          </w:p>
        </w:tc>
        <w:tc>
          <w:tcPr>
            <w:tcW w:w="920" w:type="dxa"/>
            <w:tcBorders>
              <w:top w:val="single" w:sz="4" w:space="0" w:color="auto"/>
              <w:left w:val="nil"/>
              <w:bottom w:val="single" w:sz="4" w:space="0" w:color="auto"/>
              <w:right w:val="nil"/>
            </w:tcBorders>
            <w:shd w:val="clear" w:color="auto" w:fill="auto"/>
            <w:noWrap/>
            <w:vAlign w:val="bottom"/>
            <w:hideMark/>
          </w:tcPr>
          <w:p w:rsidR="00717BF4" w:rsidRDefault="00717BF4">
            <w:pPr>
              <w:jc w:val="right"/>
              <w:rPr>
                <w:color w:val="000000"/>
              </w:rPr>
            </w:pPr>
            <w:r>
              <w:rPr>
                <w:color w:val="000000"/>
              </w:rPr>
              <w:t>Mean</w:t>
            </w:r>
          </w:p>
        </w:tc>
        <w:tc>
          <w:tcPr>
            <w:tcW w:w="920" w:type="dxa"/>
            <w:tcBorders>
              <w:top w:val="single" w:sz="4" w:space="0" w:color="auto"/>
              <w:left w:val="nil"/>
              <w:bottom w:val="single" w:sz="4" w:space="0" w:color="auto"/>
              <w:right w:val="nil"/>
            </w:tcBorders>
            <w:shd w:val="clear" w:color="auto" w:fill="auto"/>
            <w:noWrap/>
            <w:vAlign w:val="bottom"/>
            <w:hideMark/>
          </w:tcPr>
          <w:p w:rsidR="00717BF4" w:rsidRDefault="00717BF4">
            <w:pPr>
              <w:jc w:val="right"/>
              <w:rPr>
                <w:color w:val="000000"/>
              </w:rPr>
            </w:pPr>
            <w:r>
              <w:rPr>
                <w:color w:val="000000"/>
              </w:rPr>
              <w:t>Std. Dev.</w:t>
            </w:r>
          </w:p>
        </w:tc>
        <w:tc>
          <w:tcPr>
            <w:tcW w:w="977" w:type="dxa"/>
            <w:tcBorders>
              <w:top w:val="single" w:sz="4" w:space="0" w:color="auto"/>
              <w:left w:val="nil"/>
              <w:bottom w:val="single" w:sz="4" w:space="0" w:color="auto"/>
              <w:right w:val="nil"/>
            </w:tcBorders>
            <w:shd w:val="clear" w:color="auto" w:fill="auto"/>
            <w:noWrap/>
            <w:vAlign w:val="bottom"/>
            <w:hideMark/>
          </w:tcPr>
          <w:p w:rsidR="00717BF4" w:rsidRDefault="00717BF4">
            <w:pPr>
              <w:jc w:val="right"/>
              <w:rPr>
                <w:color w:val="000000"/>
              </w:rPr>
            </w:pPr>
            <w:r>
              <w:rPr>
                <w:color w:val="000000"/>
              </w:rPr>
              <w:t>Skewness</w:t>
            </w:r>
          </w:p>
        </w:tc>
        <w:tc>
          <w:tcPr>
            <w:tcW w:w="920" w:type="dxa"/>
            <w:tcBorders>
              <w:top w:val="single" w:sz="4" w:space="0" w:color="auto"/>
              <w:left w:val="nil"/>
              <w:bottom w:val="single" w:sz="4" w:space="0" w:color="auto"/>
              <w:right w:val="nil"/>
            </w:tcBorders>
            <w:shd w:val="clear" w:color="auto" w:fill="auto"/>
            <w:noWrap/>
            <w:vAlign w:val="bottom"/>
            <w:hideMark/>
          </w:tcPr>
          <w:p w:rsidR="00717BF4" w:rsidRDefault="00717BF4">
            <w:pPr>
              <w:jc w:val="right"/>
              <w:rPr>
                <w:color w:val="000000"/>
              </w:rPr>
            </w:pPr>
            <w:r>
              <w:rPr>
                <w:color w:val="000000"/>
              </w:rPr>
              <w:t>Kurtosis</w:t>
            </w:r>
          </w:p>
        </w:tc>
        <w:tc>
          <w:tcPr>
            <w:tcW w:w="920" w:type="dxa"/>
            <w:tcBorders>
              <w:top w:val="single" w:sz="4" w:space="0" w:color="auto"/>
              <w:left w:val="nil"/>
              <w:bottom w:val="single" w:sz="4" w:space="0" w:color="auto"/>
              <w:right w:val="nil"/>
            </w:tcBorders>
            <w:shd w:val="clear" w:color="auto" w:fill="auto"/>
            <w:noWrap/>
            <w:vAlign w:val="bottom"/>
            <w:hideMark/>
          </w:tcPr>
          <w:p w:rsidR="00717BF4" w:rsidRDefault="00717BF4">
            <w:pPr>
              <w:jc w:val="right"/>
              <w:rPr>
                <w:color w:val="000000"/>
              </w:rPr>
            </w:pPr>
            <w:r>
              <w:rPr>
                <w:color w:val="000000"/>
              </w:rPr>
              <w:t>Min</w:t>
            </w:r>
          </w:p>
        </w:tc>
        <w:tc>
          <w:tcPr>
            <w:tcW w:w="920" w:type="dxa"/>
            <w:tcBorders>
              <w:top w:val="single" w:sz="4" w:space="0" w:color="auto"/>
              <w:left w:val="nil"/>
              <w:bottom w:val="single" w:sz="4" w:space="0" w:color="auto"/>
              <w:right w:val="nil"/>
            </w:tcBorders>
            <w:shd w:val="clear" w:color="auto" w:fill="auto"/>
            <w:noWrap/>
            <w:vAlign w:val="bottom"/>
            <w:hideMark/>
          </w:tcPr>
          <w:p w:rsidR="00717BF4" w:rsidRDefault="00717BF4">
            <w:pPr>
              <w:jc w:val="right"/>
              <w:rPr>
                <w:color w:val="000000"/>
              </w:rPr>
            </w:pPr>
            <w:r>
              <w:rPr>
                <w:color w:val="000000"/>
              </w:rPr>
              <w:t>Max</w:t>
            </w:r>
          </w:p>
        </w:tc>
      </w:tr>
      <w:tr w:rsidR="00717BF4" w:rsidTr="00717BF4">
        <w:trPr>
          <w:trHeight w:val="315"/>
        </w:trPr>
        <w:tc>
          <w:tcPr>
            <w:tcW w:w="1700" w:type="dxa"/>
            <w:tcBorders>
              <w:top w:val="nil"/>
              <w:left w:val="nil"/>
              <w:bottom w:val="nil"/>
              <w:right w:val="nil"/>
            </w:tcBorders>
            <w:shd w:val="clear" w:color="auto" w:fill="auto"/>
            <w:noWrap/>
            <w:vAlign w:val="bottom"/>
            <w:hideMark/>
          </w:tcPr>
          <w:p w:rsidR="00717BF4" w:rsidRDefault="00717BF4">
            <w:pPr>
              <w:rPr>
                <w:color w:val="000000"/>
              </w:rPr>
            </w:pPr>
            <w:r>
              <w:rPr>
                <w:color w:val="000000"/>
              </w:rPr>
              <w:t>Volatility Index</w:t>
            </w:r>
          </w:p>
        </w:tc>
        <w:tc>
          <w:tcPr>
            <w:tcW w:w="920" w:type="dxa"/>
            <w:tcBorders>
              <w:top w:val="nil"/>
              <w:left w:val="nil"/>
              <w:bottom w:val="nil"/>
              <w:right w:val="nil"/>
            </w:tcBorders>
            <w:shd w:val="clear" w:color="auto" w:fill="auto"/>
            <w:noWrap/>
            <w:vAlign w:val="bottom"/>
            <w:hideMark/>
          </w:tcPr>
          <w:p w:rsidR="00717BF4" w:rsidRDefault="00717BF4">
            <w:pPr>
              <w:jc w:val="center"/>
              <w:rPr>
                <w:color w:val="000000"/>
              </w:rPr>
            </w:pPr>
            <w:r>
              <w:rPr>
                <w:color w:val="000000"/>
              </w:rPr>
              <w:t>VIX</w:t>
            </w:r>
          </w:p>
        </w:tc>
        <w:tc>
          <w:tcPr>
            <w:tcW w:w="920" w:type="dxa"/>
            <w:tcBorders>
              <w:top w:val="nil"/>
              <w:left w:val="nil"/>
              <w:bottom w:val="nil"/>
              <w:right w:val="nil"/>
            </w:tcBorders>
            <w:shd w:val="clear" w:color="auto" w:fill="auto"/>
            <w:noWrap/>
            <w:vAlign w:val="bottom"/>
            <w:hideMark/>
          </w:tcPr>
          <w:p w:rsidR="00717BF4" w:rsidRDefault="00717BF4" w:rsidP="00D42D30">
            <w:pPr>
              <w:jc w:val="right"/>
              <w:rPr>
                <w:color w:val="000000"/>
              </w:rPr>
            </w:pPr>
            <w:r>
              <w:rPr>
                <w:color w:val="000000"/>
              </w:rPr>
              <w:t xml:space="preserve">    2,162 </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21.24</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10.27</w:t>
            </w:r>
          </w:p>
        </w:tc>
        <w:tc>
          <w:tcPr>
            <w:tcW w:w="977"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2.17</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9.02</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9.89</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80.86</w:t>
            </w:r>
          </w:p>
        </w:tc>
      </w:tr>
      <w:tr w:rsidR="00717BF4" w:rsidTr="00717BF4">
        <w:trPr>
          <w:trHeight w:val="315"/>
        </w:trPr>
        <w:tc>
          <w:tcPr>
            <w:tcW w:w="1700" w:type="dxa"/>
            <w:tcBorders>
              <w:top w:val="nil"/>
              <w:left w:val="nil"/>
              <w:bottom w:val="nil"/>
              <w:right w:val="nil"/>
            </w:tcBorders>
            <w:shd w:val="clear" w:color="auto" w:fill="auto"/>
            <w:noWrap/>
            <w:vAlign w:val="bottom"/>
            <w:hideMark/>
          </w:tcPr>
          <w:p w:rsidR="00717BF4" w:rsidRDefault="00717BF4">
            <w:pPr>
              <w:rPr>
                <w:color w:val="000000"/>
              </w:rPr>
            </w:pPr>
            <w:r>
              <w:rPr>
                <w:color w:val="000000"/>
              </w:rPr>
              <w:t>Vol of Vol Index</w:t>
            </w:r>
          </w:p>
        </w:tc>
        <w:tc>
          <w:tcPr>
            <w:tcW w:w="920" w:type="dxa"/>
            <w:tcBorders>
              <w:top w:val="nil"/>
              <w:left w:val="nil"/>
              <w:bottom w:val="nil"/>
              <w:right w:val="nil"/>
            </w:tcBorders>
            <w:shd w:val="clear" w:color="auto" w:fill="auto"/>
            <w:noWrap/>
            <w:vAlign w:val="bottom"/>
            <w:hideMark/>
          </w:tcPr>
          <w:p w:rsidR="00717BF4" w:rsidRDefault="00717BF4">
            <w:pPr>
              <w:jc w:val="center"/>
              <w:rPr>
                <w:color w:val="000000"/>
              </w:rPr>
            </w:pPr>
            <w:r>
              <w:rPr>
                <w:color w:val="000000"/>
              </w:rPr>
              <w:t>VVIX</w:t>
            </w:r>
          </w:p>
        </w:tc>
        <w:tc>
          <w:tcPr>
            <w:tcW w:w="920" w:type="dxa"/>
            <w:tcBorders>
              <w:top w:val="nil"/>
              <w:left w:val="nil"/>
              <w:bottom w:val="nil"/>
              <w:right w:val="nil"/>
            </w:tcBorders>
            <w:shd w:val="clear" w:color="auto" w:fill="auto"/>
            <w:noWrap/>
            <w:vAlign w:val="bottom"/>
            <w:hideMark/>
          </w:tcPr>
          <w:p w:rsidR="00717BF4" w:rsidRDefault="00717BF4" w:rsidP="00D42D30">
            <w:pPr>
              <w:jc w:val="right"/>
              <w:rPr>
                <w:color w:val="000000"/>
              </w:rPr>
            </w:pPr>
            <w:r>
              <w:rPr>
                <w:color w:val="000000"/>
              </w:rPr>
              <w:t xml:space="preserve">    2,162 </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85.79</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12.95</w:t>
            </w:r>
          </w:p>
        </w:tc>
        <w:tc>
          <w:tcPr>
            <w:tcW w:w="977"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0.79</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4.21</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36.14</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145.12</w:t>
            </w:r>
          </w:p>
        </w:tc>
      </w:tr>
      <w:tr w:rsidR="00717BF4" w:rsidTr="00717BF4">
        <w:trPr>
          <w:trHeight w:val="315"/>
        </w:trPr>
        <w:tc>
          <w:tcPr>
            <w:tcW w:w="1700" w:type="dxa"/>
            <w:tcBorders>
              <w:top w:val="nil"/>
              <w:left w:val="nil"/>
              <w:bottom w:val="nil"/>
              <w:right w:val="nil"/>
            </w:tcBorders>
            <w:shd w:val="clear" w:color="auto" w:fill="auto"/>
            <w:noWrap/>
            <w:vAlign w:val="bottom"/>
            <w:hideMark/>
          </w:tcPr>
          <w:p w:rsidR="00717BF4" w:rsidRDefault="00717BF4">
            <w:pPr>
              <w:rPr>
                <w:color w:val="000000"/>
              </w:rPr>
            </w:pPr>
            <w:r>
              <w:rPr>
                <w:color w:val="000000"/>
              </w:rPr>
              <w:t>Small Value</w:t>
            </w:r>
          </w:p>
        </w:tc>
        <w:tc>
          <w:tcPr>
            <w:tcW w:w="920" w:type="dxa"/>
            <w:tcBorders>
              <w:top w:val="nil"/>
              <w:left w:val="nil"/>
              <w:bottom w:val="nil"/>
              <w:right w:val="nil"/>
            </w:tcBorders>
            <w:shd w:val="clear" w:color="auto" w:fill="auto"/>
            <w:noWrap/>
            <w:vAlign w:val="bottom"/>
            <w:hideMark/>
          </w:tcPr>
          <w:p w:rsidR="00717BF4" w:rsidRDefault="00717BF4">
            <w:pPr>
              <w:jc w:val="center"/>
              <w:rPr>
                <w:color w:val="000000"/>
              </w:rPr>
            </w:pPr>
            <w:r>
              <w:rPr>
                <w:color w:val="000000"/>
              </w:rPr>
              <w:t>IJS</w:t>
            </w:r>
          </w:p>
        </w:tc>
        <w:tc>
          <w:tcPr>
            <w:tcW w:w="920" w:type="dxa"/>
            <w:tcBorders>
              <w:top w:val="nil"/>
              <w:left w:val="nil"/>
              <w:bottom w:val="nil"/>
              <w:right w:val="nil"/>
            </w:tcBorders>
            <w:shd w:val="clear" w:color="auto" w:fill="auto"/>
            <w:noWrap/>
            <w:vAlign w:val="bottom"/>
            <w:hideMark/>
          </w:tcPr>
          <w:p w:rsidR="00717BF4" w:rsidRDefault="00717BF4" w:rsidP="00D42D30">
            <w:pPr>
              <w:jc w:val="right"/>
              <w:rPr>
                <w:color w:val="000000"/>
              </w:rPr>
            </w:pPr>
            <w:r>
              <w:rPr>
                <w:color w:val="000000"/>
              </w:rPr>
              <w:t xml:space="preserve">    2,161 </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0.0004</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0.0173</w:t>
            </w:r>
          </w:p>
        </w:tc>
        <w:tc>
          <w:tcPr>
            <w:tcW w:w="977"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-0.16</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7.81</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-0.12</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0.09</w:t>
            </w:r>
          </w:p>
        </w:tc>
      </w:tr>
      <w:tr w:rsidR="00717BF4" w:rsidTr="00717BF4">
        <w:trPr>
          <w:trHeight w:val="315"/>
        </w:trPr>
        <w:tc>
          <w:tcPr>
            <w:tcW w:w="1700" w:type="dxa"/>
            <w:tcBorders>
              <w:top w:val="nil"/>
              <w:left w:val="nil"/>
              <w:bottom w:val="nil"/>
              <w:right w:val="nil"/>
            </w:tcBorders>
            <w:shd w:val="clear" w:color="auto" w:fill="auto"/>
            <w:noWrap/>
            <w:vAlign w:val="bottom"/>
            <w:hideMark/>
          </w:tcPr>
          <w:p w:rsidR="00717BF4" w:rsidRDefault="00717BF4">
            <w:pPr>
              <w:rPr>
                <w:color w:val="000000"/>
              </w:rPr>
            </w:pPr>
            <w:r>
              <w:rPr>
                <w:color w:val="000000"/>
              </w:rPr>
              <w:t>Small Growth</w:t>
            </w:r>
          </w:p>
        </w:tc>
        <w:tc>
          <w:tcPr>
            <w:tcW w:w="920" w:type="dxa"/>
            <w:tcBorders>
              <w:top w:val="nil"/>
              <w:left w:val="nil"/>
              <w:bottom w:val="nil"/>
              <w:right w:val="nil"/>
            </w:tcBorders>
            <w:shd w:val="clear" w:color="auto" w:fill="auto"/>
            <w:noWrap/>
            <w:vAlign w:val="bottom"/>
            <w:hideMark/>
          </w:tcPr>
          <w:p w:rsidR="00717BF4" w:rsidRDefault="00717BF4">
            <w:pPr>
              <w:jc w:val="center"/>
              <w:rPr>
                <w:color w:val="000000"/>
              </w:rPr>
            </w:pPr>
            <w:r>
              <w:rPr>
                <w:color w:val="000000"/>
              </w:rPr>
              <w:t>IJT</w:t>
            </w:r>
          </w:p>
        </w:tc>
        <w:tc>
          <w:tcPr>
            <w:tcW w:w="920" w:type="dxa"/>
            <w:tcBorders>
              <w:top w:val="nil"/>
              <w:left w:val="nil"/>
              <w:bottom w:val="nil"/>
              <w:right w:val="nil"/>
            </w:tcBorders>
            <w:shd w:val="clear" w:color="auto" w:fill="auto"/>
            <w:noWrap/>
            <w:vAlign w:val="bottom"/>
            <w:hideMark/>
          </w:tcPr>
          <w:p w:rsidR="00717BF4" w:rsidRDefault="00717BF4" w:rsidP="00D42D30">
            <w:pPr>
              <w:jc w:val="right"/>
              <w:rPr>
                <w:color w:val="000000"/>
              </w:rPr>
            </w:pPr>
            <w:r>
              <w:rPr>
                <w:color w:val="000000"/>
              </w:rPr>
              <w:t xml:space="preserve">    2,161 </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0.0004</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0.0156</w:t>
            </w:r>
          </w:p>
        </w:tc>
        <w:tc>
          <w:tcPr>
            <w:tcW w:w="977"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-0.22</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7.50</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-0.10</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0.09</w:t>
            </w:r>
          </w:p>
        </w:tc>
      </w:tr>
      <w:tr w:rsidR="00717BF4" w:rsidTr="00717BF4">
        <w:trPr>
          <w:trHeight w:val="315"/>
        </w:trPr>
        <w:tc>
          <w:tcPr>
            <w:tcW w:w="1700" w:type="dxa"/>
            <w:tcBorders>
              <w:top w:val="nil"/>
              <w:left w:val="nil"/>
              <w:bottom w:val="nil"/>
              <w:right w:val="nil"/>
            </w:tcBorders>
            <w:shd w:val="clear" w:color="auto" w:fill="auto"/>
            <w:noWrap/>
            <w:vAlign w:val="bottom"/>
            <w:hideMark/>
          </w:tcPr>
          <w:p w:rsidR="00717BF4" w:rsidRDefault="00717BF4">
            <w:pPr>
              <w:rPr>
                <w:color w:val="000000"/>
              </w:rPr>
            </w:pPr>
            <w:r>
              <w:rPr>
                <w:color w:val="000000"/>
              </w:rPr>
              <w:t>Mid Value</w:t>
            </w:r>
          </w:p>
        </w:tc>
        <w:tc>
          <w:tcPr>
            <w:tcW w:w="920" w:type="dxa"/>
            <w:tcBorders>
              <w:top w:val="nil"/>
              <w:left w:val="nil"/>
              <w:bottom w:val="nil"/>
              <w:right w:val="nil"/>
            </w:tcBorders>
            <w:shd w:val="clear" w:color="auto" w:fill="auto"/>
            <w:noWrap/>
            <w:vAlign w:val="bottom"/>
            <w:hideMark/>
          </w:tcPr>
          <w:p w:rsidR="00717BF4" w:rsidRDefault="00717BF4">
            <w:pPr>
              <w:jc w:val="center"/>
              <w:rPr>
                <w:color w:val="000000"/>
              </w:rPr>
            </w:pPr>
            <w:r>
              <w:rPr>
                <w:color w:val="000000"/>
              </w:rPr>
              <w:t>IJJ</w:t>
            </w:r>
          </w:p>
        </w:tc>
        <w:tc>
          <w:tcPr>
            <w:tcW w:w="920" w:type="dxa"/>
            <w:tcBorders>
              <w:top w:val="nil"/>
              <w:left w:val="nil"/>
              <w:bottom w:val="nil"/>
              <w:right w:val="nil"/>
            </w:tcBorders>
            <w:shd w:val="clear" w:color="auto" w:fill="auto"/>
            <w:noWrap/>
            <w:vAlign w:val="bottom"/>
            <w:hideMark/>
          </w:tcPr>
          <w:p w:rsidR="00717BF4" w:rsidRDefault="00717BF4" w:rsidP="00D42D30">
            <w:pPr>
              <w:jc w:val="right"/>
              <w:rPr>
                <w:color w:val="000000"/>
              </w:rPr>
            </w:pPr>
            <w:r>
              <w:rPr>
                <w:color w:val="000000"/>
              </w:rPr>
              <w:t xml:space="preserve">    2,161 </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0.0004</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0.0157</w:t>
            </w:r>
          </w:p>
        </w:tc>
        <w:tc>
          <w:tcPr>
            <w:tcW w:w="977"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-0.18</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10.37</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-0.11</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0.11</w:t>
            </w:r>
          </w:p>
        </w:tc>
      </w:tr>
      <w:tr w:rsidR="00717BF4" w:rsidTr="00717BF4">
        <w:trPr>
          <w:trHeight w:val="315"/>
        </w:trPr>
        <w:tc>
          <w:tcPr>
            <w:tcW w:w="1700" w:type="dxa"/>
            <w:tcBorders>
              <w:top w:val="nil"/>
              <w:left w:val="nil"/>
              <w:bottom w:val="nil"/>
              <w:right w:val="nil"/>
            </w:tcBorders>
            <w:shd w:val="clear" w:color="auto" w:fill="auto"/>
            <w:noWrap/>
            <w:vAlign w:val="bottom"/>
            <w:hideMark/>
          </w:tcPr>
          <w:p w:rsidR="00717BF4" w:rsidRDefault="00717BF4">
            <w:pPr>
              <w:rPr>
                <w:color w:val="000000"/>
              </w:rPr>
            </w:pPr>
            <w:r>
              <w:rPr>
                <w:color w:val="000000"/>
              </w:rPr>
              <w:t>Mid Growth</w:t>
            </w:r>
          </w:p>
        </w:tc>
        <w:tc>
          <w:tcPr>
            <w:tcW w:w="920" w:type="dxa"/>
            <w:tcBorders>
              <w:top w:val="nil"/>
              <w:left w:val="nil"/>
              <w:bottom w:val="nil"/>
              <w:right w:val="nil"/>
            </w:tcBorders>
            <w:shd w:val="clear" w:color="auto" w:fill="auto"/>
            <w:noWrap/>
            <w:vAlign w:val="bottom"/>
            <w:hideMark/>
          </w:tcPr>
          <w:p w:rsidR="00717BF4" w:rsidRDefault="00717BF4">
            <w:pPr>
              <w:jc w:val="center"/>
              <w:rPr>
                <w:color w:val="000000"/>
              </w:rPr>
            </w:pPr>
            <w:r>
              <w:rPr>
                <w:color w:val="000000"/>
              </w:rPr>
              <w:t>IJK</w:t>
            </w:r>
          </w:p>
        </w:tc>
        <w:tc>
          <w:tcPr>
            <w:tcW w:w="920" w:type="dxa"/>
            <w:tcBorders>
              <w:top w:val="nil"/>
              <w:left w:val="nil"/>
              <w:bottom w:val="nil"/>
              <w:right w:val="nil"/>
            </w:tcBorders>
            <w:shd w:val="clear" w:color="auto" w:fill="auto"/>
            <w:noWrap/>
            <w:vAlign w:val="bottom"/>
            <w:hideMark/>
          </w:tcPr>
          <w:p w:rsidR="00717BF4" w:rsidRDefault="00717BF4" w:rsidP="00D42D30">
            <w:pPr>
              <w:jc w:val="right"/>
              <w:rPr>
                <w:color w:val="000000"/>
              </w:rPr>
            </w:pPr>
            <w:r>
              <w:rPr>
                <w:color w:val="000000"/>
              </w:rPr>
              <w:t xml:space="preserve">    2,161 </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0.0004</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0.0150</w:t>
            </w:r>
          </w:p>
        </w:tc>
        <w:tc>
          <w:tcPr>
            <w:tcW w:w="977"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-0.36</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8.61</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-0.10</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0.09</w:t>
            </w:r>
          </w:p>
        </w:tc>
      </w:tr>
      <w:tr w:rsidR="00717BF4" w:rsidTr="00717BF4">
        <w:trPr>
          <w:trHeight w:val="315"/>
        </w:trPr>
        <w:tc>
          <w:tcPr>
            <w:tcW w:w="1700" w:type="dxa"/>
            <w:tcBorders>
              <w:top w:val="nil"/>
              <w:left w:val="nil"/>
              <w:bottom w:val="nil"/>
              <w:right w:val="nil"/>
            </w:tcBorders>
            <w:shd w:val="clear" w:color="auto" w:fill="auto"/>
            <w:noWrap/>
            <w:vAlign w:val="bottom"/>
            <w:hideMark/>
          </w:tcPr>
          <w:p w:rsidR="00717BF4" w:rsidRDefault="00717BF4">
            <w:pPr>
              <w:rPr>
                <w:color w:val="000000"/>
              </w:rPr>
            </w:pPr>
            <w:r>
              <w:rPr>
                <w:color w:val="000000"/>
              </w:rPr>
              <w:t>Large Value</w:t>
            </w:r>
          </w:p>
        </w:tc>
        <w:tc>
          <w:tcPr>
            <w:tcW w:w="920" w:type="dxa"/>
            <w:tcBorders>
              <w:top w:val="nil"/>
              <w:left w:val="nil"/>
              <w:bottom w:val="nil"/>
              <w:right w:val="nil"/>
            </w:tcBorders>
            <w:shd w:val="clear" w:color="auto" w:fill="auto"/>
            <w:noWrap/>
            <w:vAlign w:val="bottom"/>
            <w:hideMark/>
          </w:tcPr>
          <w:p w:rsidR="00717BF4" w:rsidRDefault="00717BF4">
            <w:pPr>
              <w:jc w:val="center"/>
              <w:rPr>
                <w:color w:val="000000"/>
              </w:rPr>
            </w:pPr>
            <w:r>
              <w:rPr>
                <w:color w:val="000000"/>
              </w:rPr>
              <w:t>IVE</w:t>
            </w:r>
          </w:p>
        </w:tc>
        <w:tc>
          <w:tcPr>
            <w:tcW w:w="920" w:type="dxa"/>
            <w:tcBorders>
              <w:top w:val="nil"/>
              <w:left w:val="nil"/>
              <w:bottom w:val="nil"/>
              <w:right w:val="nil"/>
            </w:tcBorders>
            <w:shd w:val="clear" w:color="auto" w:fill="auto"/>
            <w:noWrap/>
            <w:vAlign w:val="bottom"/>
            <w:hideMark/>
          </w:tcPr>
          <w:p w:rsidR="00717BF4" w:rsidRDefault="00717BF4" w:rsidP="00D42D30">
            <w:pPr>
              <w:jc w:val="right"/>
              <w:rPr>
                <w:color w:val="000000"/>
              </w:rPr>
            </w:pPr>
            <w:r>
              <w:rPr>
                <w:color w:val="000000"/>
              </w:rPr>
              <w:t xml:space="preserve">    2,161 </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0.0002</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0.0142</w:t>
            </w:r>
          </w:p>
        </w:tc>
        <w:tc>
          <w:tcPr>
            <w:tcW w:w="977"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-0.15</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10.83</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-0.09</w:t>
            </w:r>
          </w:p>
        </w:tc>
        <w:tc>
          <w:tcPr>
            <w:tcW w:w="920" w:type="dxa"/>
            <w:tcBorders>
              <w:top w:val="nil"/>
              <w:left w:val="nil"/>
              <w:bottom w:val="nil"/>
              <w:right w:val="nil"/>
            </w:tcBorders>
            <w:shd w:val="clear" w:color="auto" w:fill="auto"/>
            <w:noWrap/>
            <w:vAlign w:val="bottom"/>
            <w:hideMark/>
          </w:tcPr>
          <w:p w:rsidR="00717BF4" w:rsidRDefault="00717BF4">
            <w:pPr>
              <w:jc w:val="right"/>
              <w:rPr>
                <w:color w:val="000000"/>
              </w:rPr>
            </w:pPr>
            <w:r>
              <w:rPr>
                <w:color w:val="000000"/>
              </w:rPr>
              <w:t>0.11</w:t>
            </w:r>
          </w:p>
        </w:tc>
      </w:tr>
      <w:tr w:rsidR="00717BF4" w:rsidTr="00717BF4">
        <w:trPr>
          <w:trHeight w:val="315"/>
        </w:trPr>
        <w:tc>
          <w:tcPr>
            <w:tcW w:w="1700" w:type="dxa"/>
            <w:tcBorders>
              <w:top w:val="nil"/>
              <w:left w:val="nil"/>
              <w:bottom w:val="single" w:sz="4" w:space="0" w:color="auto"/>
              <w:right w:val="nil"/>
            </w:tcBorders>
            <w:shd w:val="clear" w:color="auto" w:fill="auto"/>
            <w:noWrap/>
            <w:vAlign w:val="bottom"/>
            <w:hideMark/>
          </w:tcPr>
          <w:p w:rsidR="00717BF4" w:rsidRDefault="00717BF4">
            <w:pPr>
              <w:rPr>
                <w:color w:val="000000"/>
              </w:rPr>
            </w:pPr>
            <w:r>
              <w:rPr>
                <w:color w:val="000000"/>
              </w:rPr>
              <w:t>Large Growth</w:t>
            </w:r>
          </w:p>
        </w:tc>
        <w:tc>
          <w:tcPr>
            <w:tcW w:w="920" w:type="dxa"/>
            <w:tcBorders>
              <w:top w:val="nil"/>
              <w:left w:val="nil"/>
              <w:bottom w:val="single" w:sz="4" w:space="0" w:color="auto"/>
              <w:right w:val="nil"/>
            </w:tcBorders>
            <w:shd w:val="clear" w:color="auto" w:fill="auto"/>
            <w:noWrap/>
            <w:vAlign w:val="bottom"/>
            <w:hideMark/>
          </w:tcPr>
          <w:p w:rsidR="00717BF4" w:rsidRDefault="00717BF4">
            <w:pPr>
              <w:jc w:val="center"/>
              <w:rPr>
                <w:color w:val="000000"/>
              </w:rPr>
            </w:pPr>
            <w:r>
              <w:rPr>
                <w:color w:val="000000"/>
              </w:rPr>
              <w:t>IVW</w:t>
            </w:r>
          </w:p>
        </w:tc>
        <w:tc>
          <w:tcPr>
            <w:tcW w:w="920" w:type="dxa"/>
            <w:tcBorders>
              <w:top w:val="nil"/>
              <w:left w:val="nil"/>
              <w:bottom w:val="single" w:sz="4" w:space="0" w:color="auto"/>
              <w:right w:val="nil"/>
            </w:tcBorders>
            <w:shd w:val="clear" w:color="auto" w:fill="auto"/>
            <w:noWrap/>
            <w:vAlign w:val="bottom"/>
            <w:hideMark/>
          </w:tcPr>
          <w:p w:rsidR="00717BF4" w:rsidRDefault="00717BF4" w:rsidP="00D42D30">
            <w:pPr>
              <w:jc w:val="right"/>
              <w:rPr>
                <w:color w:val="000000"/>
              </w:rPr>
            </w:pPr>
            <w:r>
              <w:rPr>
                <w:color w:val="000000"/>
              </w:rPr>
              <w:t xml:space="preserve">    2,161 </w:t>
            </w:r>
          </w:p>
        </w:tc>
        <w:tc>
          <w:tcPr>
            <w:tcW w:w="920" w:type="dxa"/>
            <w:tcBorders>
              <w:top w:val="nil"/>
              <w:left w:val="nil"/>
              <w:bottom w:val="single" w:sz="4" w:space="0" w:color="auto"/>
              <w:right w:val="nil"/>
            </w:tcBorders>
            <w:shd w:val="clear" w:color="auto" w:fill="auto"/>
            <w:noWrap/>
            <w:vAlign w:val="bottom"/>
            <w:hideMark/>
          </w:tcPr>
          <w:p w:rsidR="00717BF4" w:rsidRDefault="00717BF4">
            <w:pPr>
              <w:jc w:val="right"/>
              <w:rPr>
                <w:color w:val="000000"/>
              </w:rPr>
            </w:pPr>
            <w:r>
              <w:rPr>
                <w:color w:val="000000"/>
              </w:rPr>
              <w:t>0.0004</w:t>
            </w:r>
          </w:p>
        </w:tc>
        <w:tc>
          <w:tcPr>
            <w:tcW w:w="920" w:type="dxa"/>
            <w:tcBorders>
              <w:top w:val="nil"/>
              <w:left w:val="nil"/>
              <w:bottom w:val="single" w:sz="4" w:space="0" w:color="auto"/>
              <w:right w:val="nil"/>
            </w:tcBorders>
            <w:shd w:val="clear" w:color="auto" w:fill="auto"/>
            <w:noWrap/>
            <w:vAlign w:val="bottom"/>
            <w:hideMark/>
          </w:tcPr>
          <w:p w:rsidR="00717BF4" w:rsidRDefault="00717BF4">
            <w:pPr>
              <w:jc w:val="right"/>
              <w:rPr>
                <w:color w:val="000000"/>
              </w:rPr>
            </w:pPr>
            <w:r>
              <w:rPr>
                <w:color w:val="000000"/>
              </w:rPr>
              <w:t>0.0127</w:t>
            </w:r>
          </w:p>
        </w:tc>
        <w:tc>
          <w:tcPr>
            <w:tcW w:w="977" w:type="dxa"/>
            <w:tcBorders>
              <w:top w:val="nil"/>
              <w:left w:val="nil"/>
              <w:bottom w:val="single" w:sz="4" w:space="0" w:color="auto"/>
              <w:right w:val="nil"/>
            </w:tcBorders>
            <w:shd w:val="clear" w:color="auto" w:fill="auto"/>
            <w:noWrap/>
            <w:vAlign w:val="bottom"/>
            <w:hideMark/>
          </w:tcPr>
          <w:p w:rsidR="00717BF4" w:rsidRDefault="00717BF4">
            <w:pPr>
              <w:jc w:val="right"/>
              <w:rPr>
                <w:color w:val="000000"/>
              </w:rPr>
            </w:pPr>
            <w:r>
              <w:rPr>
                <w:color w:val="000000"/>
              </w:rPr>
              <w:t>-0.10</w:t>
            </w:r>
          </w:p>
        </w:tc>
        <w:tc>
          <w:tcPr>
            <w:tcW w:w="920" w:type="dxa"/>
            <w:tcBorders>
              <w:top w:val="nil"/>
              <w:left w:val="nil"/>
              <w:bottom w:val="single" w:sz="4" w:space="0" w:color="auto"/>
              <w:right w:val="nil"/>
            </w:tcBorders>
            <w:shd w:val="clear" w:color="auto" w:fill="auto"/>
            <w:noWrap/>
            <w:vAlign w:val="bottom"/>
            <w:hideMark/>
          </w:tcPr>
          <w:p w:rsidR="00717BF4" w:rsidRDefault="00717BF4">
            <w:pPr>
              <w:jc w:val="right"/>
              <w:rPr>
                <w:color w:val="000000"/>
              </w:rPr>
            </w:pPr>
            <w:r>
              <w:rPr>
                <w:color w:val="000000"/>
              </w:rPr>
              <w:t>12.30</w:t>
            </w:r>
          </w:p>
        </w:tc>
        <w:tc>
          <w:tcPr>
            <w:tcW w:w="920" w:type="dxa"/>
            <w:tcBorders>
              <w:top w:val="nil"/>
              <w:left w:val="nil"/>
              <w:bottom w:val="single" w:sz="4" w:space="0" w:color="auto"/>
              <w:right w:val="nil"/>
            </w:tcBorders>
            <w:shd w:val="clear" w:color="auto" w:fill="auto"/>
            <w:noWrap/>
            <w:vAlign w:val="bottom"/>
            <w:hideMark/>
          </w:tcPr>
          <w:p w:rsidR="00717BF4" w:rsidRDefault="00717BF4">
            <w:pPr>
              <w:jc w:val="right"/>
              <w:rPr>
                <w:color w:val="000000"/>
              </w:rPr>
            </w:pPr>
            <w:r>
              <w:rPr>
                <w:color w:val="000000"/>
              </w:rPr>
              <w:t>-0.09</w:t>
            </w:r>
          </w:p>
        </w:tc>
        <w:tc>
          <w:tcPr>
            <w:tcW w:w="920" w:type="dxa"/>
            <w:tcBorders>
              <w:top w:val="nil"/>
              <w:left w:val="nil"/>
              <w:bottom w:val="single" w:sz="4" w:space="0" w:color="auto"/>
              <w:right w:val="nil"/>
            </w:tcBorders>
            <w:shd w:val="clear" w:color="auto" w:fill="auto"/>
            <w:noWrap/>
            <w:vAlign w:val="bottom"/>
            <w:hideMark/>
          </w:tcPr>
          <w:p w:rsidR="00717BF4" w:rsidRDefault="00717BF4">
            <w:pPr>
              <w:jc w:val="right"/>
              <w:rPr>
                <w:color w:val="000000"/>
              </w:rPr>
            </w:pPr>
            <w:r>
              <w:rPr>
                <w:color w:val="000000"/>
              </w:rPr>
              <w:t>0.11</w:t>
            </w:r>
          </w:p>
        </w:tc>
      </w:tr>
    </w:tbl>
    <w:p w:rsidR="00733CAF" w:rsidRDefault="00733CAF" w:rsidP="002A168D">
      <w:pPr>
        <w:autoSpaceDE w:val="0"/>
        <w:autoSpaceDN w:val="0"/>
        <w:adjustRightInd w:val="0"/>
        <w:ind w:left="720" w:hanging="720"/>
        <w:jc w:val="both"/>
        <w:rPr>
          <w:szCs w:val="18"/>
        </w:rPr>
      </w:pPr>
    </w:p>
    <w:p w:rsidR="00733CAF" w:rsidRDefault="00733CAF">
      <w:pPr>
        <w:rPr>
          <w:szCs w:val="18"/>
        </w:rPr>
      </w:pPr>
      <w:r>
        <w:rPr>
          <w:szCs w:val="18"/>
        </w:rPr>
        <w:br w:type="page"/>
      </w:r>
    </w:p>
    <w:p w:rsidR="00717BF4" w:rsidRDefault="00733CAF" w:rsidP="002A168D">
      <w:pPr>
        <w:autoSpaceDE w:val="0"/>
        <w:autoSpaceDN w:val="0"/>
        <w:adjustRightInd w:val="0"/>
        <w:ind w:left="720" w:hanging="720"/>
        <w:jc w:val="both"/>
        <w:rPr>
          <w:szCs w:val="18"/>
        </w:rPr>
      </w:pPr>
      <w:r>
        <w:rPr>
          <w:szCs w:val="18"/>
        </w:rPr>
        <w:lastRenderedPageBreak/>
        <w:t>Table 3  Correlation matrix of variables under study</w:t>
      </w:r>
    </w:p>
    <w:p w:rsidR="00733CAF" w:rsidRDefault="00733CAF" w:rsidP="002A168D">
      <w:pPr>
        <w:autoSpaceDE w:val="0"/>
        <w:autoSpaceDN w:val="0"/>
        <w:adjustRightInd w:val="0"/>
        <w:ind w:left="720" w:hanging="720"/>
        <w:jc w:val="both"/>
        <w:rPr>
          <w:szCs w:val="18"/>
        </w:rPr>
      </w:pPr>
    </w:p>
    <w:tbl>
      <w:tblPr>
        <w:tblW w:w="10020" w:type="dxa"/>
        <w:tblInd w:w="93" w:type="dxa"/>
        <w:tblLook w:val="04A0" w:firstRow="1" w:lastRow="0" w:firstColumn="1" w:lastColumn="0" w:noHBand="0" w:noVBand="1"/>
      </w:tblPr>
      <w:tblGrid>
        <w:gridCol w:w="1700"/>
        <w:gridCol w:w="920"/>
        <w:gridCol w:w="920"/>
        <w:gridCol w:w="920"/>
        <w:gridCol w:w="920"/>
        <w:gridCol w:w="920"/>
        <w:gridCol w:w="920"/>
        <w:gridCol w:w="920"/>
        <w:gridCol w:w="920"/>
        <w:gridCol w:w="960"/>
      </w:tblGrid>
      <w:tr w:rsidR="00577534" w:rsidTr="00577534">
        <w:trPr>
          <w:trHeight w:val="315"/>
        </w:trPr>
        <w:tc>
          <w:tcPr>
            <w:tcW w:w="1700" w:type="dxa"/>
            <w:tcBorders>
              <w:top w:val="single" w:sz="4" w:space="0" w:color="auto"/>
              <w:left w:val="nil"/>
              <w:bottom w:val="single" w:sz="4" w:space="0" w:color="auto"/>
              <w:right w:val="nil"/>
            </w:tcBorders>
            <w:shd w:val="clear" w:color="auto" w:fill="auto"/>
            <w:noWrap/>
            <w:vAlign w:val="bottom"/>
            <w:hideMark/>
          </w:tcPr>
          <w:p w:rsidR="00577534" w:rsidRDefault="00577534">
            <w:pPr>
              <w:rPr>
                <w:color w:val="000000"/>
                <w:sz w:val="20"/>
                <w:szCs w:val="20"/>
              </w:rPr>
            </w:pPr>
            <w:r>
              <w:rPr>
                <w:color w:val="000000"/>
                <w:sz w:val="20"/>
                <w:szCs w:val="20"/>
              </w:rPr>
              <w:t>Variable / Style</w:t>
            </w:r>
          </w:p>
        </w:tc>
        <w:tc>
          <w:tcPr>
            <w:tcW w:w="920" w:type="dxa"/>
            <w:tcBorders>
              <w:top w:val="single" w:sz="4" w:space="0" w:color="auto"/>
              <w:left w:val="nil"/>
              <w:bottom w:val="single" w:sz="4" w:space="0" w:color="auto"/>
              <w:right w:val="nil"/>
            </w:tcBorders>
            <w:shd w:val="clear" w:color="auto" w:fill="auto"/>
            <w:noWrap/>
            <w:vAlign w:val="bottom"/>
            <w:hideMark/>
          </w:tcPr>
          <w:p w:rsidR="00577534" w:rsidRDefault="00577534">
            <w:pPr>
              <w:jc w:val="center"/>
              <w:rPr>
                <w:color w:val="000000"/>
                <w:sz w:val="20"/>
                <w:szCs w:val="20"/>
              </w:rPr>
            </w:pPr>
            <w:r>
              <w:rPr>
                <w:color w:val="000000"/>
                <w:sz w:val="20"/>
                <w:szCs w:val="20"/>
              </w:rPr>
              <w:t>Symbol</w:t>
            </w:r>
          </w:p>
        </w:tc>
        <w:tc>
          <w:tcPr>
            <w:tcW w:w="920" w:type="dxa"/>
            <w:tcBorders>
              <w:top w:val="single" w:sz="4" w:space="0" w:color="auto"/>
              <w:left w:val="nil"/>
              <w:bottom w:val="single" w:sz="4" w:space="0" w:color="auto"/>
              <w:right w:val="nil"/>
            </w:tcBorders>
            <w:shd w:val="clear" w:color="auto" w:fill="auto"/>
            <w:noWrap/>
            <w:vAlign w:val="bottom"/>
            <w:hideMark/>
          </w:tcPr>
          <w:p w:rsidR="00577534" w:rsidRDefault="00577534" w:rsidP="00577534">
            <w:pPr>
              <w:jc w:val="center"/>
              <w:rPr>
                <w:color w:val="000000"/>
                <w:sz w:val="20"/>
                <w:szCs w:val="20"/>
              </w:rPr>
            </w:pPr>
            <w:r>
              <w:rPr>
                <w:color w:val="000000"/>
                <w:sz w:val="20"/>
                <w:szCs w:val="20"/>
              </w:rPr>
              <w:t>VIX</w:t>
            </w:r>
          </w:p>
        </w:tc>
        <w:tc>
          <w:tcPr>
            <w:tcW w:w="920" w:type="dxa"/>
            <w:tcBorders>
              <w:top w:val="single" w:sz="4" w:space="0" w:color="auto"/>
              <w:left w:val="nil"/>
              <w:bottom w:val="single" w:sz="4" w:space="0" w:color="auto"/>
              <w:right w:val="nil"/>
            </w:tcBorders>
            <w:shd w:val="clear" w:color="auto" w:fill="auto"/>
            <w:noWrap/>
            <w:vAlign w:val="bottom"/>
            <w:hideMark/>
          </w:tcPr>
          <w:p w:rsidR="00577534" w:rsidRDefault="00577534" w:rsidP="00577534">
            <w:pPr>
              <w:jc w:val="center"/>
              <w:rPr>
                <w:color w:val="000000"/>
                <w:sz w:val="20"/>
                <w:szCs w:val="20"/>
              </w:rPr>
            </w:pPr>
            <w:r>
              <w:rPr>
                <w:color w:val="000000"/>
                <w:sz w:val="20"/>
                <w:szCs w:val="20"/>
              </w:rPr>
              <w:t>VVIX</w:t>
            </w:r>
          </w:p>
        </w:tc>
        <w:tc>
          <w:tcPr>
            <w:tcW w:w="920" w:type="dxa"/>
            <w:tcBorders>
              <w:top w:val="single" w:sz="4" w:space="0" w:color="auto"/>
              <w:left w:val="nil"/>
              <w:bottom w:val="single" w:sz="4" w:space="0" w:color="auto"/>
              <w:right w:val="nil"/>
            </w:tcBorders>
            <w:shd w:val="clear" w:color="auto" w:fill="auto"/>
            <w:noWrap/>
            <w:vAlign w:val="bottom"/>
            <w:hideMark/>
          </w:tcPr>
          <w:p w:rsidR="00577534" w:rsidRDefault="00577534" w:rsidP="00577534">
            <w:pPr>
              <w:jc w:val="center"/>
              <w:rPr>
                <w:color w:val="000000"/>
                <w:sz w:val="20"/>
                <w:szCs w:val="20"/>
              </w:rPr>
            </w:pPr>
            <w:r>
              <w:rPr>
                <w:color w:val="000000"/>
                <w:sz w:val="20"/>
                <w:szCs w:val="20"/>
              </w:rPr>
              <w:t>SM VL</w:t>
            </w:r>
          </w:p>
        </w:tc>
        <w:tc>
          <w:tcPr>
            <w:tcW w:w="920" w:type="dxa"/>
            <w:tcBorders>
              <w:top w:val="single" w:sz="4" w:space="0" w:color="auto"/>
              <w:left w:val="nil"/>
              <w:bottom w:val="single" w:sz="4" w:space="0" w:color="auto"/>
              <w:right w:val="nil"/>
            </w:tcBorders>
            <w:shd w:val="clear" w:color="auto" w:fill="auto"/>
            <w:noWrap/>
            <w:vAlign w:val="bottom"/>
            <w:hideMark/>
          </w:tcPr>
          <w:p w:rsidR="00577534" w:rsidRDefault="00577534" w:rsidP="00577534">
            <w:pPr>
              <w:jc w:val="center"/>
              <w:rPr>
                <w:color w:val="000000"/>
                <w:sz w:val="20"/>
                <w:szCs w:val="20"/>
              </w:rPr>
            </w:pPr>
            <w:r>
              <w:rPr>
                <w:color w:val="000000"/>
                <w:sz w:val="20"/>
                <w:szCs w:val="20"/>
              </w:rPr>
              <w:t>SM GR</w:t>
            </w:r>
          </w:p>
        </w:tc>
        <w:tc>
          <w:tcPr>
            <w:tcW w:w="920" w:type="dxa"/>
            <w:tcBorders>
              <w:top w:val="single" w:sz="4" w:space="0" w:color="auto"/>
              <w:left w:val="nil"/>
              <w:bottom w:val="single" w:sz="4" w:space="0" w:color="auto"/>
              <w:right w:val="nil"/>
            </w:tcBorders>
            <w:shd w:val="clear" w:color="auto" w:fill="auto"/>
            <w:noWrap/>
            <w:vAlign w:val="bottom"/>
            <w:hideMark/>
          </w:tcPr>
          <w:p w:rsidR="00577534" w:rsidRDefault="00577534" w:rsidP="00577534">
            <w:pPr>
              <w:jc w:val="center"/>
              <w:rPr>
                <w:color w:val="000000"/>
                <w:sz w:val="20"/>
                <w:szCs w:val="20"/>
              </w:rPr>
            </w:pPr>
            <w:r>
              <w:rPr>
                <w:color w:val="000000"/>
                <w:sz w:val="20"/>
                <w:szCs w:val="20"/>
              </w:rPr>
              <w:t>MD VL</w:t>
            </w:r>
          </w:p>
        </w:tc>
        <w:tc>
          <w:tcPr>
            <w:tcW w:w="920" w:type="dxa"/>
            <w:tcBorders>
              <w:top w:val="single" w:sz="4" w:space="0" w:color="auto"/>
              <w:left w:val="nil"/>
              <w:bottom w:val="single" w:sz="4" w:space="0" w:color="auto"/>
              <w:right w:val="nil"/>
            </w:tcBorders>
            <w:shd w:val="clear" w:color="auto" w:fill="auto"/>
            <w:noWrap/>
            <w:vAlign w:val="bottom"/>
            <w:hideMark/>
          </w:tcPr>
          <w:p w:rsidR="00577534" w:rsidRDefault="00577534" w:rsidP="00577534">
            <w:pPr>
              <w:jc w:val="center"/>
              <w:rPr>
                <w:color w:val="000000"/>
                <w:sz w:val="20"/>
                <w:szCs w:val="20"/>
              </w:rPr>
            </w:pPr>
            <w:r>
              <w:rPr>
                <w:color w:val="000000"/>
                <w:sz w:val="20"/>
                <w:szCs w:val="20"/>
              </w:rPr>
              <w:t>MD GR</w:t>
            </w:r>
          </w:p>
        </w:tc>
        <w:tc>
          <w:tcPr>
            <w:tcW w:w="920" w:type="dxa"/>
            <w:tcBorders>
              <w:top w:val="single" w:sz="4" w:space="0" w:color="auto"/>
              <w:left w:val="nil"/>
              <w:bottom w:val="single" w:sz="4" w:space="0" w:color="auto"/>
              <w:right w:val="nil"/>
            </w:tcBorders>
            <w:shd w:val="clear" w:color="auto" w:fill="auto"/>
            <w:noWrap/>
            <w:vAlign w:val="bottom"/>
            <w:hideMark/>
          </w:tcPr>
          <w:p w:rsidR="00577534" w:rsidRDefault="00577534" w:rsidP="00577534">
            <w:pPr>
              <w:jc w:val="center"/>
              <w:rPr>
                <w:color w:val="000000"/>
                <w:sz w:val="20"/>
                <w:szCs w:val="20"/>
              </w:rPr>
            </w:pPr>
            <w:r>
              <w:rPr>
                <w:color w:val="000000"/>
                <w:sz w:val="20"/>
                <w:szCs w:val="20"/>
              </w:rPr>
              <w:t>LG VL</w:t>
            </w:r>
          </w:p>
        </w:tc>
        <w:tc>
          <w:tcPr>
            <w:tcW w:w="960" w:type="dxa"/>
            <w:tcBorders>
              <w:top w:val="single" w:sz="4" w:space="0" w:color="auto"/>
              <w:left w:val="nil"/>
              <w:bottom w:val="single" w:sz="4" w:space="0" w:color="auto"/>
              <w:right w:val="nil"/>
            </w:tcBorders>
            <w:shd w:val="clear" w:color="auto" w:fill="auto"/>
            <w:noWrap/>
            <w:vAlign w:val="bottom"/>
            <w:hideMark/>
          </w:tcPr>
          <w:p w:rsidR="00577534" w:rsidRDefault="00577534" w:rsidP="00577534">
            <w:pPr>
              <w:jc w:val="center"/>
              <w:rPr>
                <w:color w:val="000000"/>
                <w:sz w:val="20"/>
                <w:szCs w:val="20"/>
              </w:rPr>
            </w:pPr>
            <w:r>
              <w:rPr>
                <w:color w:val="000000"/>
                <w:sz w:val="20"/>
                <w:szCs w:val="20"/>
              </w:rPr>
              <w:t>LG GR</w:t>
            </w:r>
          </w:p>
        </w:tc>
      </w:tr>
      <w:tr w:rsidR="00577534" w:rsidTr="00577534">
        <w:trPr>
          <w:trHeight w:val="315"/>
        </w:trPr>
        <w:tc>
          <w:tcPr>
            <w:tcW w:w="1700" w:type="dxa"/>
            <w:tcBorders>
              <w:top w:val="nil"/>
              <w:left w:val="nil"/>
              <w:bottom w:val="nil"/>
              <w:right w:val="nil"/>
            </w:tcBorders>
            <w:shd w:val="clear" w:color="auto" w:fill="auto"/>
            <w:noWrap/>
            <w:vAlign w:val="bottom"/>
            <w:hideMark/>
          </w:tcPr>
          <w:p w:rsidR="00577534" w:rsidRDefault="00577534">
            <w:pPr>
              <w:rPr>
                <w:color w:val="000000"/>
                <w:sz w:val="20"/>
                <w:szCs w:val="20"/>
              </w:rPr>
            </w:pPr>
            <w:r>
              <w:rPr>
                <w:color w:val="000000"/>
                <w:sz w:val="20"/>
                <w:szCs w:val="20"/>
              </w:rPr>
              <w:t>Volatility Index</w:t>
            </w:r>
          </w:p>
        </w:tc>
        <w:tc>
          <w:tcPr>
            <w:tcW w:w="920" w:type="dxa"/>
            <w:tcBorders>
              <w:top w:val="nil"/>
              <w:left w:val="nil"/>
              <w:bottom w:val="nil"/>
              <w:right w:val="nil"/>
            </w:tcBorders>
            <w:shd w:val="clear" w:color="auto" w:fill="auto"/>
            <w:noWrap/>
            <w:vAlign w:val="bottom"/>
            <w:hideMark/>
          </w:tcPr>
          <w:p w:rsidR="00577534" w:rsidRDefault="00577534">
            <w:pPr>
              <w:jc w:val="center"/>
              <w:rPr>
                <w:color w:val="000000"/>
                <w:sz w:val="20"/>
                <w:szCs w:val="20"/>
              </w:rPr>
            </w:pPr>
            <w:r>
              <w:rPr>
                <w:color w:val="000000"/>
                <w:sz w:val="20"/>
                <w:szCs w:val="20"/>
              </w:rPr>
              <w:t>VIX</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1.0000</w:t>
            </w: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6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r>
      <w:tr w:rsidR="00577534" w:rsidTr="00577534">
        <w:trPr>
          <w:trHeight w:val="315"/>
        </w:trPr>
        <w:tc>
          <w:tcPr>
            <w:tcW w:w="1700" w:type="dxa"/>
            <w:tcBorders>
              <w:top w:val="nil"/>
              <w:left w:val="nil"/>
              <w:bottom w:val="nil"/>
              <w:right w:val="nil"/>
            </w:tcBorders>
            <w:shd w:val="clear" w:color="auto" w:fill="auto"/>
            <w:noWrap/>
            <w:vAlign w:val="bottom"/>
            <w:hideMark/>
          </w:tcPr>
          <w:p w:rsidR="00577534" w:rsidRDefault="00577534">
            <w:pPr>
              <w:rPr>
                <w:color w:val="000000"/>
                <w:sz w:val="20"/>
                <w:szCs w:val="20"/>
              </w:rPr>
            </w:pPr>
            <w:r>
              <w:rPr>
                <w:color w:val="000000"/>
                <w:sz w:val="20"/>
                <w:szCs w:val="20"/>
              </w:rPr>
              <w:t>Vol of Vol Index</w:t>
            </w:r>
          </w:p>
        </w:tc>
        <w:tc>
          <w:tcPr>
            <w:tcW w:w="920" w:type="dxa"/>
            <w:tcBorders>
              <w:top w:val="nil"/>
              <w:left w:val="nil"/>
              <w:bottom w:val="nil"/>
              <w:right w:val="nil"/>
            </w:tcBorders>
            <w:shd w:val="clear" w:color="auto" w:fill="auto"/>
            <w:noWrap/>
            <w:vAlign w:val="bottom"/>
            <w:hideMark/>
          </w:tcPr>
          <w:p w:rsidR="00577534" w:rsidRDefault="00577534">
            <w:pPr>
              <w:jc w:val="center"/>
              <w:rPr>
                <w:color w:val="000000"/>
                <w:sz w:val="20"/>
                <w:szCs w:val="20"/>
              </w:rPr>
            </w:pPr>
            <w:r>
              <w:rPr>
                <w:color w:val="000000"/>
                <w:sz w:val="20"/>
                <w:szCs w:val="20"/>
              </w:rPr>
              <w:t>VVIX</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0.3894</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1.0000</w:t>
            </w: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6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r>
      <w:tr w:rsidR="00577534" w:rsidTr="00577534">
        <w:trPr>
          <w:trHeight w:val="315"/>
        </w:trPr>
        <w:tc>
          <w:tcPr>
            <w:tcW w:w="1700" w:type="dxa"/>
            <w:tcBorders>
              <w:top w:val="nil"/>
              <w:left w:val="nil"/>
              <w:bottom w:val="nil"/>
              <w:right w:val="nil"/>
            </w:tcBorders>
            <w:shd w:val="clear" w:color="auto" w:fill="auto"/>
            <w:noWrap/>
            <w:vAlign w:val="bottom"/>
            <w:hideMark/>
          </w:tcPr>
          <w:p w:rsidR="00577534" w:rsidRDefault="00577534">
            <w:pPr>
              <w:rPr>
                <w:color w:val="000000"/>
                <w:sz w:val="20"/>
                <w:szCs w:val="20"/>
              </w:rPr>
            </w:pPr>
            <w:r>
              <w:rPr>
                <w:color w:val="000000"/>
                <w:sz w:val="20"/>
                <w:szCs w:val="20"/>
              </w:rPr>
              <w:t>Small Value</w:t>
            </w:r>
          </w:p>
        </w:tc>
        <w:tc>
          <w:tcPr>
            <w:tcW w:w="920" w:type="dxa"/>
            <w:tcBorders>
              <w:top w:val="nil"/>
              <w:left w:val="nil"/>
              <w:bottom w:val="nil"/>
              <w:right w:val="nil"/>
            </w:tcBorders>
            <w:shd w:val="clear" w:color="auto" w:fill="auto"/>
            <w:noWrap/>
            <w:vAlign w:val="bottom"/>
            <w:hideMark/>
          </w:tcPr>
          <w:p w:rsidR="00577534" w:rsidRDefault="00577534">
            <w:pPr>
              <w:jc w:val="center"/>
              <w:rPr>
                <w:color w:val="000000"/>
                <w:sz w:val="20"/>
                <w:szCs w:val="20"/>
              </w:rPr>
            </w:pPr>
            <w:r>
              <w:rPr>
                <w:color w:val="000000"/>
                <w:sz w:val="20"/>
                <w:szCs w:val="20"/>
              </w:rPr>
              <w:t>IJS</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-0.1182</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-0.1539</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1.0000</w:t>
            </w: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6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r>
      <w:tr w:rsidR="00577534" w:rsidTr="00577534">
        <w:trPr>
          <w:trHeight w:val="315"/>
        </w:trPr>
        <w:tc>
          <w:tcPr>
            <w:tcW w:w="1700" w:type="dxa"/>
            <w:tcBorders>
              <w:top w:val="nil"/>
              <w:left w:val="nil"/>
              <w:bottom w:val="nil"/>
              <w:right w:val="nil"/>
            </w:tcBorders>
            <w:shd w:val="clear" w:color="auto" w:fill="auto"/>
            <w:noWrap/>
            <w:vAlign w:val="bottom"/>
            <w:hideMark/>
          </w:tcPr>
          <w:p w:rsidR="00577534" w:rsidRDefault="00577534">
            <w:pPr>
              <w:rPr>
                <w:color w:val="000000"/>
                <w:sz w:val="20"/>
                <w:szCs w:val="20"/>
              </w:rPr>
            </w:pPr>
            <w:r>
              <w:rPr>
                <w:color w:val="000000"/>
                <w:sz w:val="20"/>
                <w:szCs w:val="20"/>
              </w:rPr>
              <w:t>Small Growth</w:t>
            </w:r>
          </w:p>
        </w:tc>
        <w:tc>
          <w:tcPr>
            <w:tcW w:w="920" w:type="dxa"/>
            <w:tcBorders>
              <w:top w:val="nil"/>
              <w:left w:val="nil"/>
              <w:bottom w:val="nil"/>
              <w:right w:val="nil"/>
            </w:tcBorders>
            <w:shd w:val="clear" w:color="auto" w:fill="auto"/>
            <w:noWrap/>
            <w:vAlign w:val="bottom"/>
            <w:hideMark/>
          </w:tcPr>
          <w:p w:rsidR="00577534" w:rsidRDefault="00577534">
            <w:pPr>
              <w:jc w:val="center"/>
              <w:rPr>
                <w:color w:val="000000"/>
                <w:sz w:val="20"/>
                <w:szCs w:val="20"/>
              </w:rPr>
            </w:pPr>
            <w:r>
              <w:rPr>
                <w:color w:val="000000"/>
                <w:sz w:val="20"/>
                <w:szCs w:val="20"/>
              </w:rPr>
              <w:t>IJT</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-0.1265</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-0.1576</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0.9767</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1.0000</w:t>
            </w: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6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r>
      <w:tr w:rsidR="00577534" w:rsidTr="00577534">
        <w:trPr>
          <w:trHeight w:val="315"/>
        </w:trPr>
        <w:tc>
          <w:tcPr>
            <w:tcW w:w="1700" w:type="dxa"/>
            <w:tcBorders>
              <w:top w:val="nil"/>
              <w:left w:val="nil"/>
              <w:bottom w:val="nil"/>
              <w:right w:val="nil"/>
            </w:tcBorders>
            <w:shd w:val="clear" w:color="auto" w:fill="auto"/>
            <w:noWrap/>
            <w:vAlign w:val="bottom"/>
            <w:hideMark/>
          </w:tcPr>
          <w:p w:rsidR="00577534" w:rsidRDefault="00577534">
            <w:pPr>
              <w:rPr>
                <w:color w:val="000000"/>
                <w:sz w:val="20"/>
                <w:szCs w:val="20"/>
              </w:rPr>
            </w:pPr>
            <w:r>
              <w:rPr>
                <w:color w:val="000000"/>
                <w:sz w:val="20"/>
                <w:szCs w:val="20"/>
              </w:rPr>
              <w:t>Mid Value</w:t>
            </w:r>
          </w:p>
        </w:tc>
        <w:tc>
          <w:tcPr>
            <w:tcW w:w="920" w:type="dxa"/>
            <w:tcBorders>
              <w:top w:val="nil"/>
              <w:left w:val="nil"/>
              <w:bottom w:val="nil"/>
              <w:right w:val="nil"/>
            </w:tcBorders>
            <w:shd w:val="clear" w:color="auto" w:fill="auto"/>
            <w:noWrap/>
            <w:vAlign w:val="bottom"/>
            <w:hideMark/>
          </w:tcPr>
          <w:p w:rsidR="00577534" w:rsidRDefault="00577534">
            <w:pPr>
              <w:jc w:val="center"/>
              <w:rPr>
                <w:color w:val="000000"/>
                <w:sz w:val="20"/>
                <w:szCs w:val="20"/>
              </w:rPr>
            </w:pPr>
            <w:r>
              <w:rPr>
                <w:color w:val="000000"/>
                <w:sz w:val="20"/>
                <w:szCs w:val="20"/>
              </w:rPr>
              <w:t>IJJ</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-0.1253</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-0.1594</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0.9653</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0.959</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1.0000</w:t>
            </w: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6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r>
      <w:tr w:rsidR="00577534" w:rsidTr="00577534">
        <w:trPr>
          <w:trHeight w:val="315"/>
        </w:trPr>
        <w:tc>
          <w:tcPr>
            <w:tcW w:w="1700" w:type="dxa"/>
            <w:tcBorders>
              <w:top w:val="nil"/>
              <w:left w:val="nil"/>
              <w:bottom w:val="nil"/>
              <w:right w:val="nil"/>
            </w:tcBorders>
            <w:shd w:val="clear" w:color="auto" w:fill="auto"/>
            <w:noWrap/>
            <w:vAlign w:val="bottom"/>
            <w:hideMark/>
          </w:tcPr>
          <w:p w:rsidR="00577534" w:rsidRDefault="00577534">
            <w:pPr>
              <w:rPr>
                <w:color w:val="000000"/>
                <w:sz w:val="20"/>
                <w:szCs w:val="20"/>
              </w:rPr>
            </w:pPr>
            <w:r>
              <w:rPr>
                <w:color w:val="000000"/>
                <w:sz w:val="20"/>
                <w:szCs w:val="20"/>
              </w:rPr>
              <w:t>Mid Growth</w:t>
            </w:r>
          </w:p>
        </w:tc>
        <w:tc>
          <w:tcPr>
            <w:tcW w:w="920" w:type="dxa"/>
            <w:tcBorders>
              <w:top w:val="nil"/>
              <w:left w:val="nil"/>
              <w:bottom w:val="nil"/>
              <w:right w:val="nil"/>
            </w:tcBorders>
            <w:shd w:val="clear" w:color="auto" w:fill="auto"/>
            <w:noWrap/>
            <w:vAlign w:val="bottom"/>
            <w:hideMark/>
          </w:tcPr>
          <w:p w:rsidR="00577534" w:rsidRDefault="00577534">
            <w:pPr>
              <w:jc w:val="center"/>
              <w:rPr>
                <w:color w:val="000000"/>
                <w:sz w:val="20"/>
                <w:szCs w:val="20"/>
              </w:rPr>
            </w:pPr>
            <w:r>
              <w:rPr>
                <w:color w:val="000000"/>
                <w:sz w:val="20"/>
                <w:szCs w:val="20"/>
              </w:rPr>
              <w:t>IJK</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-0.1273</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-0.1635</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0.9399</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0.964</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0.9688</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1.0000</w:t>
            </w:r>
          </w:p>
        </w:tc>
        <w:tc>
          <w:tcPr>
            <w:tcW w:w="92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c>
          <w:tcPr>
            <w:tcW w:w="96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r>
      <w:tr w:rsidR="00577534" w:rsidTr="00577534">
        <w:trPr>
          <w:trHeight w:val="315"/>
        </w:trPr>
        <w:tc>
          <w:tcPr>
            <w:tcW w:w="1700" w:type="dxa"/>
            <w:tcBorders>
              <w:top w:val="nil"/>
              <w:left w:val="nil"/>
              <w:bottom w:val="nil"/>
              <w:right w:val="nil"/>
            </w:tcBorders>
            <w:shd w:val="clear" w:color="auto" w:fill="auto"/>
            <w:noWrap/>
            <w:vAlign w:val="bottom"/>
            <w:hideMark/>
          </w:tcPr>
          <w:p w:rsidR="00577534" w:rsidRDefault="00577534">
            <w:pPr>
              <w:rPr>
                <w:color w:val="000000"/>
                <w:sz w:val="20"/>
                <w:szCs w:val="20"/>
              </w:rPr>
            </w:pPr>
            <w:r>
              <w:rPr>
                <w:color w:val="000000"/>
                <w:sz w:val="20"/>
                <w:szCs w:val="20"/>
              </w:rPr>
              <w:t>Large Value</w:t>
            </w:r>
          </w:p>
        </w:tc>
        <w:tc>
          <w:tcPr>
            <w:tcW w:w="920" w:type="dxa"/>
            <w:tcBorders>
              <w:top w:val="nil"/>
              <w:left w:val="nil"/>
              <w:bottom w:val="nil"/>
              <w:right w:val="nil"/>
            </w:tcBorders>
            <w:shd w:val="clear" w:color="auto" w:fill="auto"/>
            <w:noWrap/>
            <w:vAlign w:val="bottom"/>
            <w:hideMark/>
          </w:tcPr>
          <w:p w:rsidR="00577534" w:rsidRDefault="00577534">
            <w:pPr>
              <w:jc w:val="center"/>
              <w:rPr>
                <w:color w:val="000000"/>
                <w:sz w:val="20"/>
                <w:szCs w:val="20"/>
              </w:rPr>
            </w:pPr>
            <w:r>
              <w:rPr>
                <w:color w:val="000000"/>
                <w:sz w:val="20"/>
                <w:szCs w:val="20"/>
              </w:rPr>
              <w:t>IVE</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-0.1323</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-0.1565</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0.9229</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0.9078</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0.9508</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0.9174</w:t>
            </w:r>
          </w:p>
        </w:tc>
        <w:tc>
          <w:tcPr>
            <w:tcW w:w="920" w:type="dxa"/>
            <w:tcBorders>
              <w:top w:val="nil"/>
              <w:left w:val="nil"/>
              <w:bottom w:val="nil"/>
              <w:right w:val="nil"/>
            </w:tcBorders>
            <w:shd w:val="clear" w:color="auto" w:fill="auto"/>
            <w:noWrap/>
            <w:vAlign w:val="bottom"/>
            <w:hideMark/>
          </w:tcPr>
          <w:p w:rsidR="00577534" w:rsidRDefault="00577534">
            <w:pPr>
              <w:jc w:val="right"/>
              <w:rPr>
                <w:color w:val="000000"/>
                <w:sz w:val="20"/>
                <w:szCs w:val="20"/>
              </w:rPr>
            </w:pPr>
            <w:r>
              <w:rPr>
                <w:color w:val="000000"/>
                <w:sz w:val="20"/>
                <w:szCs w:val="20"/>
              </w:rPr>
              <w:t>1.0000</w:t>
            </w:r>
          </w:p>
        </w:tc>
        <w:tc>
          <w:tcPr>
            <w:tcW w:w="960" w:type="dxa"/>
            <w:tcBorders>
              <w:top w:val="nil"/>
              <w:left w:val="nil"/>
              <w:bottom w:val="nil"/>
              <w:right w:val="nil"/>
            </w:tcBorders>
            <w:shd w:val="clear" w:color="auto" w:fill="auto"/>
            <w:noWrap/>
            <w:vAlign w:val="bottom"/>
            <w:hideMark/>
          </w:tcPr>
          <w:p w:rsidR="00577534" w:rsidRDefault="00577534">
            <w:pPr>
              <w:rPr>
                <w:color w:val="000000"/>
                <w:sz w:val="20"/>
                <w:szCs w:val="20"/>
              </w:rPr>
            </w:pPr>
          </w:p>
        </w:tc>
      </w:tr>
      <w:tr w:rsidR="00577534" w:rsidTr="00577534">
        <w:trPr>
          <w:trHeight w:val="315"/>
        </w:trPr>
        <w:tc>
          <w:tcPr>
            <w:tcW w:w="1700" w:type="dxa"/>
            <w:tcBorders>
              <w:top w:val="nil"/>
              <w:left w:val="nil"/>
              <w:bottom w:val="single" w:sz="4" w:space="0" w:color="auto"/>
              <w:right w:val="nil"/>
            </w:tcBorders>
            <w:shd w:val="clear" w:color="auto" w:fill="auto"/>
            <w:noWrap/>
            <w:vAlign w:val="bottom"/>
            <w:hideMark/>
          </w:tcPr>
          <w:p w:rsidR="00577534" w:rsidRDefault="00577534">
            <w:pPr>
              <w:rPr>
                <w:color w:val="000000"/>
                <w:sz w:val="20"/>
                <w:szCs w:val="20"/>
              </w:rPr>
            </w:pPr>
            <w:r>
              <w:rPr>
                <w:color w:val="000000"/>
                <w:sz w:val="20"/>
                <w:szCs w:val="20"/>
              </w:rPr>
              <w:t>Large Growth</w:t>
            </w:r>
          </w:p>
        </w:tc>
        <w:tc>
          <w:tcPr>
            <w:tcW w:w="920" w:type="dxa"/>
            <w:tcBorders>
              <w:top w:val="nil"/>
              <w:left w:val="nil"/>
              <w:bottom w:val="single" w:sz="4" w:space="0" w:color="auto"/>
              <w:right w:val="nil"/>
            </w:tcBorders>
            <w:shd w:val="clear" w:color="auto" w:fill="auto"/>
            <w:noWrap/>
            <w:vAlign w:val="bottom"/>
            <w:hideMark/>
          </w:tcPr>
          <w:p w:rsidR="00577534" w:rsidRDefault="00577534">
            <w:pPr>
              <w:jc w:val="center"/>
              <w:rPr>
                <w:color w:val="000000"/>
                <w:sz w:val="20"/>
                <w:szCs w:val="20"/>
              </w:rPr>
            </w:pPr>
            <w:r>
              <w:rPr>
                <w:color w:val="000000"/>
                <w:sz w:val="20"/>
                <w:szCs w:val="20"/>
              </w:rPr>
              <w:t>IVW</w:t>
            </w:r>
          </w:p>
        </w:tc>
        <w:tc>
          <w:tcPr>
            <w:tcW w:w="920" w:type="dxa"/>
            <w:tcBorders>
              <w:top w:val="nil"/>
              <w:left w:val="nil"/>
              <w:bottom w:val="single" w:sz="4" w:space="0" w:color="auto"/>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-0.1275</w:t>
            </w:r>
          </w:p>
        </w:tc>
        <w:tc>
          <w:tcPr>
            <w:tcW w:w="920" w:type="dxa"/>
            <w:tcBorders>
              <w:top w:val="nil"/>
              <w:left w:val="nil"/>
              <w:bottom w:val="single" w:sz="4" w:space="0" w:color="auto"/>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-0.1562</w:t>
            </w:r>
          </w:p>
        </w:tc>
        <w:tc>
          <w:tcPr>
            <w:tcW w:w="920" w:type="dxa"/>
            <w:tcBorders>
              <w:top w:val="nil"/>
              <w:left w:val="nil"/>
              <w:bottom w:val="single" w:sz="4" w:space="0" w:color="auto"/>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0.8995</w:t>
            </w:r>
          </w:p>
        </w:tc>
        <w:tc>
          <w:tcPr>
            <w:tcW w:w="920" w:type="dxa"/>
            <w:tcBorders>
              <w:top w:val="nil"/>
              <w:left w:val="nil"/>
              <w:bottom w:val="single" w:sz="4" w:space="0" w:color="auto"/>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0.9177</w:t>
            </w:r>
          </w:p>
        </w:tc>
        <w:tc>
          <w:tcPr>
            <w:tcW w:w="920" w:type="dxa"/>
            <w:tcBorders>
              <w:top w:val="nil"/>
              <w:left w:val="nil"/>
              <w:bottom w:val="single" w:sz="4" w:space="0" w:color="auto"/>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0.9345</w:t>
            </w:r>
          </w:p>
        </w:tc>
        <w:tc>
          <w:tcPr>
            <w:tcW w:w="920" w:type="dxa"/>
            <w:tcBorders>
              <w:top w:val="nil"/>
              <w:left w:val="nil"/>
              <w:bottom w:val="single" w:sz="4" w:space="0" w:color="auto"/>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0.9423</w:t>
            </w:r>
          </w:p>
        </w:tc>
        <w:tc>
          <w:tcPr>
            <w:tcW w:w="920" w:type="dxa"/>
            <w:tcBorders>
              <w:top w:val="nil"/>
              <w:left w:val="nil"/>
              <w:bottom w:val="single" w:sz="4" w:space="0" w:color="auto"/>
              <w:right w:val="nil"/>
            </w:tcBorders>
            <w:shd w:val="clear" w:color="auto" w:fill="auto"/>
            <w:noWrap/>
            <w:vAlign w:val="bottom"/>
            <w:hideMark/>
          </w:tcPr>
          <w:p w:rsidR="00577534" w:rsidRDefault="00577534">
            <w:pPr>
              <w:jc w:val="right"/>
              <w:rPr>
                <w:color w:val="000000"/>
                <w:sz w:val="20"/>
                <w:szCs w:val="20"/>
              </w:rPr>
            </w:pPr>
            <w:r>
              <w:rPr>
                <w:color w:val="000000"/>
                <w:sz w:val="20"/>
                <w:szCs w:val="20"/>
              </w:rPr>
              <w:t>0.9473</w:t>
            </w:r>
          </w:p>
        </w:tc>
        <w:tc>
          <w:tcPr>
            <w:tcW w:w="960" w:type="dxa"/>
            <w:tcBorders>
              <w:top w:val="nil"/>
              <w:left w:val="nil"/>
              <w:bottom w:val="single" w:sz="4" w:space="0" w:color="auto"/>
              <w:right w:val="nil"/>
            </w:tcBorders>
            <w:shd w:val="clear" w:color="auto" w:fill="auto"/>
            <w:noWrap/>
            <w:vAlign w:val="bottom"/>
            <w:hideMark/>
          </w:tcPr>
          <w:p w:rsidR="00577534" w:rsidRDefault="00577534">
            <w:pPr>
              <w:jc w:val="right"/>
              <w:rPr>
                <w:color w:val="000000"/>
                <w:sz w:val="20"/>
                <w:szCs w:val="20"/>
              </w:rPr>
            </w:pPr>
            <w:r>
              <w:rPr>
                <w:color w:val="000000"/>
                <w:sz w:val="20"/>
                <w:szCs w:val="20"/>
              </w:rPr>
              <w:t>1.0000</w:t>
            </w:r>
          </w:p>
        </w:tc>
      </w:tr>
    </w:tbl>
    <w:p w:rsidR="00853088" w:rsidRDefault="00853088" w:rsidP="002A168D">
      <w:pPr>
        <w:autoSpaceDE w:val="0"/>
        <w:autoSpaceDN w:val="0"/>
        <w:adjustRightInd w:val="0"/>
        <w:ind w:left="720" w:hanging="720"/>
        <w:jc w:val="both"/>
        <w:rPr>
          <w:szCs w:val="18"/>
        </w:rPr>
      </w:pPr>
    </w:p>
    <w:p w:rsidR="00853088" w:rsidRDefault="00853088" w:rsidP="00853088">
      <w:pPr>
        <w:rPr>
          <w:szCs w:val="18"/>
        </w:rPr>
      </w:pPr>
    </w:p>
    <w:p w:rsidR="00827466" w:rsidRDefault="00827466">
      <w:pPr>
        <w:rPr>
          <w:szCs w:val="18"/>
        </w:rPr>
      </w:pPr>
      <w:r>
        <w:rPr>
          <w:szCs w:val="18"/>
        </w:rPr>
        <w:br w:type="page"/>
      </w:r>
    </w:p>
    <w:p w:rsidR="00827466" w:rsidRDefault="00827466" w:rsidP="00853088">
      <w:pPr>
        <w:rPr>
          <w:szCs w:val="18"/>
        </w:rPr>
        <w:sectPr w:rsidR="00827466" w:rsidSect="00142FA2">
          <w:footerReference w:type="first" r:id="rId19"/>
          <w:endnotePr>
            <w:numFmt w:val="decimal"/>
          </w:endnotePr>
          <w:pgSz w:w="12240" w:h="15840" w:code="1"/>
          <w:pgMar w:top="1440" w:right="1440" w:bottom="1440" w:left="1440" w:header="0" w:footer="720" w:gutter="0"/>
          <w:cols w:space="720"/>
          <w:docGrid w:linePitch="360"/>
        </w:sectPr>
      </w:pPr>
    </w:p>
    <w:p w:rsidR="005C08C8" w:rsidRDefault="005C08C8" w:rsidP="005C08C8">
      <w:pPr>
        <w:rPr>
          <w:color w:val="000000"/>
          <w:sz w:val="16"/>
          <w:szCs w:val="16"/>
        </w:rPr>
      </w:pPr>
      <w:r>
        <w:rPr>
          <w:color w:val="000000"/>
          <w:sz w:val="16"/>
          <w:szCs w:val="16"/>
        </w:rPr>
        <w:lastRenderedPageBreak/>
        <w:t xml:space="preserve">Table 4  Forecast returns of the </w:t>
      </w:r>
      <w:r w:rsidR="00980FF5">
        <w:rPr>
          <w:color w:val="000000"/>
          <w:sz w:val="16"/>
          <w:szCs w:val="16"/>
        </w:rPr>
        <w:t>l</w:t>
      </w:r>
      <w:r>
        <w:rPr>
          <w:color w:val="000000"/>
          <w:sz w:val="16"/>
          <w:szCs w:val="16"/>
        </w:rPr>
        <w:t>arge</w:t>
      </w:r>
      <w:r w:rsidR="00980FF5">
        <w:rPr>
          <w:color w:val="000000"/>
          <w:sz w:val="16"/>
          <w:szCs w:val="16"/>
        </w:rPr>
        <w:t>-c</w:t>
      </w:r>
      <w:r>
        <w:rPr>
          <w:color w:val="000000"/>
          <w:sz w:val="16"/>
          <w:szCs w:val="16"/>
        </w:rPr>
        <w:t>ap value minus</w:t>
      </w:r>
      <w:r w:rsidR="00980FF5">
        <w:rPr>
          <w:color w:val="000000"/>
          <w:sz w:val="16"/>
          <w:szCs w:val="16"/>
        </w:rPr>
        <w:t xml:space="preserve"> growth ETFs</w:t>
      </w:r>
      <w:r>
        <w:rPr>
          <w:color w:val="000000"/>
          <w:sz w:val="16"/>
          <w:szCs w:val="16"/>
        </w:rPr>
        <w:t xml:space="preserve"> based on day 0 VIX and VVIX changes</w:t>
      </w:r>
    </w:p>
    <w:p w:rsidR="005C08C8" w:rsidRDefault="005C08C8" w:rsidP="005C08C8">
      <w:pPr>
        <w:ind w:firstLine="720"/>
      </w:pPr>
    </w:p>
    <w:tbl>
      <w:tblPr>
        <w:tblW w:w="0" w:type="auto"/>
        <w:tblInd w:w="93" w:type="dxa"/>
        <w:tblLook w:val="04A0" w:firstRow="1" w:lastRow="0" w:firstColumn="1" w:lastColumn="0" w:noHBand="0" w:noVBand="1"/>
      </w:tblPr>
      <w:tblGrid>
        <w:gridCol w:w="1962"/>
        <w:gridCol w:w="934"/>
        <w:gridCol w:w="256"/>
        <w:gridCol w:w="656"/>
        <w:gridCol w:w="296"/>
        <w:gridCol w:w="656"/>
        <w:gridCol w:w="456"/>
        <w:gridCol w:w="656"/>
        <w:gridCol w:w="456"/>
        <w:gridCol w:w="656"/>
        <w:gridCol w:w="456"/>
        <w:gridCol w:w="656"/>
        <w:gridCol w:w="456"/>
        <w:gridCol w:w="656"/>
        <w:gridCol w:w="456"/>
        <w:gridCol w:w="736"/>
        <w:gridCol w:w="456"/>
        <w:gridCol w:w="736"/>
        <w:gridCol w:w="456"/>
      </w:tblGrid>
      <w:tr w:rsidR="005C08C8" w:rsidTr="00A50A2D">
        <w:trPr>
          <w:trHeight w:val="300"/>
        </w:trPr>
        <w:tc>
          <w:tcPr>
            <w:tcW w:w="0" w:type="auto"/>
            <w:gridSpan w:val="2"/>
            <w:tcBorders>
              <w:top w:val="nil"/>
              <w:left w:val="nil"/>
              <w:bottom w:val="nil"/>
              <w:right w:val="nil"/>
            </w:tcBorders>
            <w:shd w:val="clear" w:color="auto" w:fill="auto"/>
            <w:noWrap/>
            <w:vAlign w:val="bottom"/>
            <w:hideMark/>
          </w:tcPr>
          <w:p w:rsidR="005C08C8" w:rsidRDefault="005C08C8" w:rsidP="00A50A2D">
            <w:pPr>
              <w:rPr>
                <w:color w:val="000000"/>
                <w:sz w:val="16"/>
                <w:szCs w:val="16"/>
              </w:rPr>
            </w:pPr>
            <w:r>
              <w:rPr>
                <w:color w:val="000000"/>
                <w:sz w:val="16"/>
                <w:szCs w:val="16"/>
              </w:rPr>
              <w:t>Panel A:  VIX only Return Forecast</w:t>
            </w: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r>
      <w:tr w:rsidR="005C08C8" w:rsidTr="00A50A2D">
        <w:trPr>
          <w:trHeight w:val="315"/>
        </w:trPr>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Forecast Days Ahead</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5</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10</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20</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30</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40</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50</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60</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r>
      <w:tr w:rsidR="005C08C8" w:rsidTr="00A50A2D">
        <w:trPr>
          <w:trHeight w:val="315"/>
        </w:trPr>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VIX</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0.004</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0.003</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0.005</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r>
      <w:tr w:rsidR="005C08C8" w:rsidTr="00A50A2D">
        <w:trPr>
          <w:trHeight w:val="315"/>
        </w:trPr>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(0.09)</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(0.72)</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(1.44)</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(0.77)</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(0.86)</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(-0.14)</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(-0.05)</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(0.04)</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(0.03)</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r>
      <w:tr w:rsidR="005C08C8" w:rsidTr="00A50A2D">
        <w:trPr>
          <w:trHeight w:val="315"/>
        </w:trPr>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Constant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-0.003</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-0.004</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-0.006</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-0.007</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-0.009</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r>
      <w:tr w:rsidR="005C08C8" w:rsidTr="00A50A2D">
        <w:trPr>
          <w:trHeight w:val="315"/>
        </w:trPr>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(-1.36)</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(-1.93)</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(-3.16)</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(-4.67)</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(-6.82)</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(-8.24)</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(-9.36)</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(-10.41)</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(-11.57)</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r>
      <w:tr w:rsidR="005C08C8" w:rsidTr="00A50A2D">
        <w:trPr>
          <w:trHeight w:val="315"/>
        </w:trPr>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cente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r>
      <w:tr w:rsidR="005C08C8" w:rsidTr="00A50A2D">
        <w:trPr>
          <w:trHeight w:val="315"/>
        </w:trPr>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Observations</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2,159</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2,158</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2,155</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2,150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2,140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2,130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2,120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2,110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2,100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r>
      <w:tr w:rsidR="005C08C8" w:rsidTr="00A50A2D">
        <w:trPr>
          <w:trHeight w:val="315"/>
        </w:trPr>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R-squared</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r>
      <w:tr w:rsidR="005C08C8" w:rsidTr="00A50A2D">
        <w:trPr>
          <w:trHeight w:val="330"/>
        </w:trPr>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Adj. R-squared</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r>
      <w:tr w:rsidR="005C08C8" w:rsidTr="00A50A2D">
        <w:trPr>
          <w:trHeight w:val="315"/>
        </w:trPr>
        <w:tc>
          <w:tcPr>
            <w:tcW w:w="0" w:type="auto"/>
            <w:gridSpan w:val="6"/>
            <w:tcBorders>
              <w:top w:val="single" w:sz="8" w:space="0" w:color="auto"/>
              <w:left w:val="nil"/>
              <w:bottom w:val="nil"/>
              <w:right w:val="nil"/>
            </w:tcBorders>
            <w:shd w:val="clear" w:color="auto" w:fill="auto"/>
            <w:noWrap/>
            <w:vAlign w:val="center"/>
            <w:hideMark/>
          </w:tcPr>
          <w:p w:rsidR="005C08C8" w:rsidRDefault="005C08C8" w:rsidP="00A50A2D">
            <w:pPr>
              <w:rPr>
                <w:color w:val="000000"/>
                <w:sz w:val="16"/>
                <w:szCs w:val="16"/>
              </w:rPr>
            </w:pPr>
            <w:r>
              <w:rPr>
                <w:color w:val="000000"/>
                <w:sz w:val="16"/>
                <w:szCs w:val="16"/>
              </w:rPr>
              <w:t>t-statistics in parentheses, *** p&lt;0.01, ** p&lt;0.05, * p&lt;0.10</w:t>
            </w: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r>
      <w:tr w:rsidR="005C08C8" w:rsidTr="00A50A2D">
        <w:trPr>
          <w:trHeight w:val="315"/>
        </w:trPr>
        <w:tc>
          <w:tcPr>
            <w:tcW w:w="0" w:type="auto"/>
            <w:tcBorders>
              <w:top w:val="nil"/>
              <w:left w:val="nil"/>
              <w:bottom w:val="nil"/>
              <w:right w:val="nil"/>
            </w:tcBorders>
            <w:shd w:val="clear" w:color="auto" w:fill="auto"/>
            <w:noWrap/>
            <w:vAlign w:val="center"/>
            <w:hideMark/>
          </w:tcPr>
          <w:p w:rsidR="005C08C8" w:rsidRDefault="005C08C8" w:rsidP="00A50A2D">
            <w:pPr>
              <w:jc w:val="center"/>
              <w:rPr>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r>
      <w:tr w:rsidR="005C08C8" w:rsidTr="00A50A2D">
        <w:trPr>
          <w:trHeight w:val="315"/>
        </w:trPr>
        <w:tc>
          <w:tcPr>
            <w:tcW w:w="0" w:type="auto"/>
            <w:gridSpan w:val="2"/>
            <w:tcBorders>
              <w:top w:val="nil"/>
              <w:left w:val="nil"/>
              <w:bottom w:val="nil"/>
              <w:right w:val="nil"/>
            </w:tcBorders>
            <w:shd w:val="clear" w:color="auto" w:fill="auto"/>
            <w:noWrap/>
            <w:vAlign w:val="center"/>
            <w:hideMark/>
          </w:tcPr>
          <w:p w:rsidR="005C08C8" w:rsidRDefault="005C08C8" w:rsidP="00A50A2D">
            <w:pPr>
              <w:rPr>
                <w:color w:val="000000"/>
                <w:sz w:val="16"/>
                <w:szCs w:val="16"/>
              </w:rPr>
            </w:pPr>
            <w:r>
              <w:rPr>
                <w:color w:val="000000"/>
                <w:sz w:val="16"/>
                <w:szCs w:val="16"/>
              </w:rPr>
              <w:t>Panel B:  VIX and VVIX Return Forecast</w:t>
            </w: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r>
      <w:tr w:rsidR="005C08C8" w:rsidTr="00A50A2D">
        <w:trPr>
          <w:trHeight w:val="315"/>
        </w:trPr>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Forecast Days Ahead</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5</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10</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20</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30</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40</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50</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60</w:t>
            </w:r>
          </w:p>
        </w:tc>
        <w:tc>
          <w:tcPr>
            <w:tcW w:w="0" w:type="auto"/>
            <w:tcBorders>
              <w:top w:val="single" w:sz="4" w:space="0" w:color="auto"/>
              <w:left w:val="nil"/>
              <w:bottom w:val="single" w:sz="4"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r>
      <w:tr w:rsidR="005C08C8" w:rsidTr="00A50A2D">
        <w:trPr>
          <w:trHeight w:val="315"/>
        </w:trPr>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VIX</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0.004</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0.009</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0.013</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0.009</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0.008</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0.003</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-0.003</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r>
      <w:tr w:rsidR="005C08C8" w:rsidTr="00A50A2D">
        <w:trPr>
          <w:trHeight w:val="315"/>
        </w:trPr>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(0.47)</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(1.37)</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(2.17)</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(1.88)</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(1.75)</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(0.97)</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(0.74)</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(0.22)</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(-0.20)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r>
      <w:tr w:rsidR="005C08C8" w:rsidTr="00A50A2D">
        <w:trPr>
          <w:trHeight w:val="315"/>
        </w:trPr>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VVIX</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-0.004</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-0.009</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-0.014</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-0.017</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-0.020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-0.018</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-0.005</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0.006</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r>
      <w:tr w:rsidR="005C08C8" w:rsidTr="00A50A2D">
        <w:trPr>
          <w:trHeight w:val="315"/>
        </w:trPr>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(-0.61)</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(-1.24)</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(-1.65)</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(-1.97)</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(-1.66)</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(-1.62)</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(-1.18)</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(-0.28)</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(0.34)</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r>
      <w:tr w:rsidR="005C08C8" w:rsidTr="00A50A2D">
        <w:trPr>
          <w:trHeight w:val="315"/>
        </w:trPr>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Constant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-0.003</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-0.004</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-0.006</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-0.007</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-0.009</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r>
      <w:tr w:rsidR="005C08C8" w:rsidTr="00A50A2D">
        <w:trPr>
          <w:trHeight w:val="315"/>
        </w:trPr>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(-1.35)</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(-1.92)</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(-3.15)</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(-4.65)</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(-6.81)</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(-8.24)</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(-9.35)</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(-10.4)</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(-11.57)</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w:t>
            </w:r>
          </w:p>
        </w:tc>
      </w:tr>
      <w:tr w:rsidR="005C08C8" w:rsidTr="00A50A2D">
        <w:trPr>
          <w:trHeight w:val="315"/>
        </w:trPr>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cente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r>
      <w:tr w:rsidR="005C08C8" w:rsidTr="00A50A2D">
        <w:trPr>
          <w:trHeight w:val="315"/>
        </w:trPr>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Observations</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2,159</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2,158</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2,155</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2,150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2,140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2,130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2,120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2,110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2,100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r>
      <w:tr w:rsidR="005C08C8" w:rsidTr="00A50A2D">
        <w:trPr>
          <w:trHeight w:val="315"/>
        </w:trPr>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r>
              <w:rPr>
                <w:color w:val="000000"/>
                <w:sz w:val="16"/>
                <w:szCs w:val="16"/>
              </w:rPr>
              <w:t>R-squared</w:t>
            </w: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nil"/>
              <w:right w:val="nil"/>
            </w:tcBorders>
            <w:shd w:val="clear" w:color="auto" w:fill="auto"/>
            <w:vAlign w:val="center"/>
            <w:hideMark/>
          </w:tcPr>
          <w:p w:rsidR="005C08C8" w:rsidRDefault="005C08C8" w:rsidP="00A50A2D">
            <w:pPr>
              <w:rPr>
                <w:color w:val="000000"/>
                <w:sz w:val="16"/>
                <w:szCs w:val="16"/>
              </w:rPr>
            </w:pPr>
          </w:p>
        </w:tc>
        <w:tc>
          <w:tcPr>
            <w:tcW w:w="0" w:type="auto"/>
            <w:tcBorders>
              <w:top w:val="nil"/>
              <w:left w:val="nil"/>
              <w:bottom w:val="nil"/>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r>
      <w:tr w:rsidR="005C08C8" w:rsidTr="00A50A2D">
        <w:trPr>
          <w:trHeight w:val="330"/>
        </w:trPr>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Adj. R-squared</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center"/>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jc w:val="right"/>
              <w:rPr>
                <w:color w:val="000000"/>
                <w:sz w:val="16"/>
                <w:szCs w:val="16"/>
              </w:rPr>
            </w:pPr>
            <w:r>
              <w:rPr>
                <w:color w:val="000000"/>
                <w:sz w:val="16"/>
                <w:szCs w:val="16"/>
              </w:rPr>
              <w:t>0.00</w:t>
            </w:r>
          </w:p>
        </w:tc>
        <w:tc>
          <w:tcPr>
            <w:tcW w:w="0" w:type="auto"/>
            <w:tcBorders>
              <w:top w:val="nil"/>
              <w:left w:val="nil"/>
              <w:bottom w:val="single" w:sz="8" w:space="0" w:color="auto"/>
              <w:right w:val="nil"/>
            </w:tcBorders>
            <w:shd w:val="clear" w:color="auto" w:fill="auto"/>
            <w:vAlign w:val="center"/>
            <w:hideMark/>
          </w:tcPr>
          <w:p w:rsidR="005C08C8" w:rsidRDefault="005C08C8" w:rsidP="00A50A2D">
            <w:pPr>
              <w:rPr>
                <w:color w:val="000000"/>
                <w:sz w:val="16"/>
                <w:szCs w:val="16"/>
              </w:rPr>
            </w:pPr>
            <w:r>
              <w:rPr>
                <w:color w:val="000000"/>
                <w:sz w:val="16"/>
                <w:szCs w:val="16"/>
              </w:rPr>
              <w:t> </w:t>
            </w:r>
          </w:p>
        </w:tc>
      </w:tr>
      <w:tr w:rsidR="005C08C8" w:rsidTr="00A50A2D">
        <w:trPr>
          <w:trHeight w:val="315"/>
        </w:trPr>
        <w:tc>
          <w:tcPr>
            <w:tcW w:w="0" w:type="auto"/>
            <w:gridSpan w:val="6"/>
            <w:tcBorders>
              <w:top w:val="single" w:sz="8" w:space="0" w:color="auto"/>
              <w:left w:val="nil"/>
              <w:bottom w:val="nil"/>
              <w:right w:val="nil"/>
            </w:tcBorders>
            <w:shd w:val="clear" w:color="auto" w:fill="auto"/>
            <w:noWrap/>
            <w:vAlign w:val="center"/>
            <w:hideMark/>
          </w:tcPr>
          <w:p w:rsidR="005C08C8" w:rsidRDefault="005C08C8" w:rsidP="00A50A2D">
            <w:pPr>
              <w:rPr>
                <w:color w:val="000000"/>
                <w:sz w:val="16"/>
                <w:szCs w:val="16"/>
              </w:rPr>
            </w:pPr>
            <w:r>
              <w:rPr>
                <w:color w:val="000000"/>
                <w:sz w:val="16"/>
                <w:szCs w:val="16"/>
              </w:rPr>
              <w:t>t-statistics in parentheses, *** p&lt;0.01, ** p&lt;0.05, * p&lt;0.10</w:t>
            </w: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5C08C8" w:rsidRDefault="005C08C8" w:rsidP="00A50A2D">
            <w:pPr>
              <w:rPr>
                <w:rFonts w:ascii="Calibri" w:hAnsi="Calibri"/>
                <w:color w:val="000000"/>
                <w:sz w:val="16"/>
                <w:szCs w:val="16"/>
              </w:rPr>
            </w:pPr>
          </w:p>
        </w:tc>
      </w:tr>
    </w:tbl>
    <w:p w:rsidR="005C08C8" w:rsidRDefault="005C08C8" w:rsidP="005C08C8">
      <w:pPr>
        <w:rPr>
          <w:szCs w:val="18"/>
        </w:rPr>
      </w:pPr>
    </w:p>
    <w:p w:rsidR="005C08C8" w:rsidRDefault="005C08C8">
      <w:pPr>
        <w:rPr>
          <w:color w:val="000000"/>
          <w:sz w:val="16"/>
          <w:szCs w:val="16"/>
        </w:rPr>
      </w:pPr>
      <w:r>
        <w:rPr>
          <w:color w:val="000000"/>
          <w:sz w:val="16"/>
          <w:szCs w:val="16"/>
        </w:rPr>
        <w:br w:type="page"/>
      </w:r>
    </w:p>
    <w:p w:rsidR="005C08C8" w:rsidRDefault="005C08C8" w:rsidP="005C08C8">
      <w:pPr>
        <w:rPr>
          <w:color w:val="000000"/>
          <w:sz w:val="16"/>
          <w:szCs w:val="16"/>
        </w:rPr>
      </w:pPr>
      <w:r>
        <w:rPr>
          <w:color w:val="000000"/>
          <w:sz w:val="16"/>
          <w:szCs w:val="16"/>
        </w:rPr>
        <w:lastRenderedPageBreak/>
        <w:t>Table 5</w:t>
      </w:r>
      <w:r w:rsidR="00980FF5">
        <w:rPr>
          <w:color w:val="000000"/>
          <w:sz w:val="16"/>
          <w:szCs w:val="16"/>
        </w:rPr>
        <w:t xml:space="preserve">  Forecast returns of the l</w:t>
      </w:r>
      <w:r>
        <w:rPr>
          <w:color w:val="000000"/>
          <w:sz w:val="16"/>
          <w:szCs w:val="16"/>
        </w:rPr>
        <w:t>arge</w:t>
      </w:r>
      <w:r w:rsidR="00980FF5">
        <w:rPr>
          <w:color w:val="000000"/>
          <w:sz w:val="16"/>
          <w:szCs w:val="16"/>
        </w:rPr>
        <w:t>-c</w:t>
      </w:r>
      <w:r>
        <w:rPr>
          <w:color w:val="000000"/>
          <w:sz w:val="16"/>
          <w:szCs w:val="16"/>
        </w:rPr>
        <w:t>a</w:t>
      </w:r>
      <w:r w:rsidR="00980FF5">
        <w:rPr>
          <w:color w:val="000000"/>
          <w:sz w:val="16"/>
          <w:szCs w:val="16"/>
        </w:rPr>
        <w:t xml:space="preserve">p value minus growth ETFs </w:t>
      </w:r>
      <w:r>
        <w:rPr>
          <w:color w:val="000000"/>
          <w:sz w:val="16"/>
          <w:szCs w:val="16"/>
        </w:rPr>
        <w:t>based on levels of VIX and VVIX relative to their 75-day moving averages</w:t>
      </w:r>
    </w:p>
    <w:p w:rsidR="00827466" w:rsidRDefault="00827466"/>
    <w:tbl>
      <w:tblPr>
        <w:tblW w:w="0" w:type="auto"/>
        <w:tblInd w:w="93" w:type="dxa"/>
        <w:tblLook w:val="04A0" w:firstRow="1" w:lastRow="0" w:firstColumn="1" w:lastColumn="0" w:noHBand="0" w:noVBand="1"/>
      </w:tblPr>
      <w:tblGrid>
        <w:gridCol w:w="2048"/>
        <w:gridCol w:w="848"/>
        <w:gridCol w:w="376"/>
        <w:gridCol w:w="656"/>
        <w:gridCol w:w="456"/>
        <w:gridCol w:w="656"/>
        <w:gridCol w:w="456"/>
        <w:gridCol w:w="656"/>
        <w:gridCol w:w="456"/>
        <w:gridCol w:w="656"/>
        <w:gridCol w:w="456"/>
        <w:gridCol w:w="656"/>
        <w:gridCol w:w="456"/>
        <w:gridCol w:w="656"/>
        <w:gridCol w:w="456"/>
        <w:gridCol w:w="736"/>
        <w:gridCol w:w="456"/>
        <w:gridCol w:w="736"/>
        <w:gridCol w:w="456"/>
      </w:tblGrid>
      <w:tr w:rsidR="00D07E60" w:rsidTr="00970FC3">
        <w:trPr>
          <w:trHeight w:val="300"/>
        </w:trPr>
        <w:tc>
          <w:tcPr>
            <w:tcW w:w="0" w:type="auto"/>
            <w:gridSpan w:val="2"/>
            <w:tcBorders>
              <w:top w:val="nil"/>
              <w:left w:val="nil"/>
              <w:bottom w:val="nil"/>
              <w:right w:val="nil"/>
            </w:tcBorders>
            <w:shd w:val="clear" w:color="auto" w:fill="auto"/>
            <w:noWrap/>
            <w:vAlign w:val="bottom"/>
            <w:hideMark/>
          </w:tcPr>
          <w:p w:rsidR="00827466" w:rsidRDefault="00827466">
            <w:pPr>
              <w:rPr>
                <w:color w:val="000000"/>
                <w:sz w:val="16"/>
                <w:szCs w:val="16"/>
              </w:rPr>
            </w:pPr>
          </w:p>
          <w:p w:rsidR="00827466" w:rsidRDefault="00C21CDB">
            <w:pPr>
              <w:rPr>
                <w:color w:val="000000"/>
                <w:sz w:val="16"/>
                <w:szCs w:val="16"/>
              </w:rPr>
            </w:pPr>
            <w:r>
              <w:rPr>
                <w:color w:val="000000"/>
                <w:sz w:val="16"/>
                <w:szCs w:val="16"/>
              </w:rPr>
              <w:t xml:space="preserve">Panel A:  VIX only Return </w:t>
            </w:r>
          </w:p>
          <w:p w:rsidR="00C21CDB" w:rsidRDefault="00C21CDB">
            <w:pPr>
              <w:rPr>
                <w:color w:val="000000"/>
                <w:sz w:val="16"/>
                <w:szCs w:val="16"/>
              </w:rPr>
            </w:pPr>
            <w:r>
              <w:rPr>
                <w:color w:val="000000"/>
                <w:sz w:val="16"/>
                <w:szCs w:val="16"/>
              </w:rPr>
              <w:t>Forecast</w:t>
            </w: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r>
      <w:tr w:rsidR="00827466" w:rsidTr="00970FC3">
        <w:trPr>
          <w:trHeight w:val="315"/>
        </w:trPr>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Forecast Days Ahead</w:t>
            </w:r>
            <w:r w:rsidR="00970FC3">
              <w:rPr>
                <w:color w:val="000000"/>
                <w:sz w:val="16"/>
                <w:szCs w:val="16"/>
              </w:rPr>
              <w:t xml:space="preserve"> (</w:t>
            </w:r>
            <w:r w:rsidR="00970FC3" w:rsidRPr="00970FC3">
              <w:rPr>
                <w:i/>
                <w:color w:val="000000"/>
                <w:sz w:val="16"/>
                <w:szCs w:val="16"/>
              </w:rPr>
              <w:t>n</w:t>
            </w:r>
            <w:r w:rsidR="00970FC3">
              <w:rPr>
                <w:color w:val="000000"/>
                <w:sz w:val="16"/>
                <w:szCs w:val="16"/>
              </w:rPr>
              <w:t>)</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1</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2</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5</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10</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20</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30</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40</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50</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60</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r>
      <w:tr w:rsidR="00827466" w:rsidTr="00970FC3">
        <w:trPr>
          <w:trHeight w:val="315"/>
        </w:trPr>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VIX</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-0.028</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-0.068</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center"/>
              <w:rPr>
                <w:color w:val="000000"/>
                <w:sz w:val="16"/>
                <w:szCs w:val="16"/>
              </w:rPr>
            </w:pPr>
            <w:r>
              <w:rPr>
                <w:color w:val="000000"/>
                <w:sz w:val="16"/>
                <w:szCs w:val="16"/>
              </w:rPr>
              <w:t>-0.060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0.110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0.735</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1.190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1.573</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2.234</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3.448</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r>
      <w:tr w:rsidR="00827466" w:rsidTr="00970FC3">
        <w:trPr>
          <w:trHeight w:val="315"/>
        </w:trPr>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(-0.65)</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(-1.12)</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C21CDB" w:rsidRDefault="00C21CDB">
            <w:pPr>
              <w:jc w:val="center"/>
              <w:rPr>
                <w:color w:val="000000"/>
                <w:sz w:val="16"/>
                <w:szCs w:val="16"/>
              </w:rPr>
            </w:pPr>
            <w:r>
              <w:rPr>
                <w:color w:val="000000"/>
                <w:sz w:val="16"/>
                <w:szCs w:val="16"/>
              </w:rPr>
              <w:t>(-0.64)</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(0.86)</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(4.14)</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(5.45)</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(6.13)</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(7.75)</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(11.07)</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r>
      <w:tr w:rsidR="00827466" w:rsidTr="00970FC3">
        <w:trPr>
          <w:trHeight w:val="315"/>
        </w:trPr>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Constant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center"/>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-0.003</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-0.004</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-0.006</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-0.007</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-0.008</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r>
      <w:tr w:rsidR="00827466" w:rsidTr="00970FC3">
        <w:trPr>
          <w:trHeight w:val="315"/>
        </w:trPr>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(-1.37)</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(-1.96)</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center"/>
              <w:rPr>
                <w:color w:val="000000"/>
                <w:sz w:val="16"/>
                <w:szCs w:val="16"/>
              </w:rPr>
            </w:pPr>
            <w:r>
              <w:rPr>
                <w:color w:val="000000"/>
                <w:sz w:val="16"/>
                <w:szCs w:val="16"/>
              </w:rPr>
              <w:t>(-3.14)</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(-4.62)</w:t>
            </w:r>
          </w:p>
        </w:tc>
        <w:tc>
          <w:tcPr>
            <w:tcW w:w="0" w:type="auto"/>
            <w:tcBorders>
              <w:top w:val="nil"/>
              <w:left w:val="nil"/>
              <w:bottom w:val="nil"/>
              <w:right w:val="nil"/>
            </w:tcBorders>
            <w:shd w:val="clear" w:color="auto" w:fill="auto"/>
            <w:vAlign w:val="center"/>
            <w:hideMark/>
          </w:tcPr>
          <w:p w:rsidR="00C21CDB" w:rsidRDefault="00C21CDB" w:rsidP="00A913ED">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(-6.64)</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(-8.06)</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(-9.13)</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(-10.19)</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(-11.51)</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r>
      <w:tr w:rsidR="00827466" w:rsidTr="00970FC3">
        <w:trPr>
          <w:trHeight w:val="315"/>
        </w:trPr>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Observations</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2,161</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2,160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center"/>
              <w:rPr>
                <w:color w:val="000000"/>
                <w:sz w:val="16"/>
                <w:szCs w:val="16"/>
              </w:rPr>
            </w:pPr>
            <w:r>
              <w:rPr>
                <w:color w:val="000000"/>
                <w:sz w:val="16"/>
                <w:szCs w:val="16"/>
              </w:rPr>
              <w:t>2,157</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2,152</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2,142</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2,132</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2,122</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2,112</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2,102</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r>
      <w:tr w:rsidR="00827466" w:rsidTr="00970FC3">
        <w:trPr>
          <w:trHeight w:val="315"/>
        </w:trPr>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R-squared</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center"/>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0.020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0.030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0.060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r>
      <w:tr w:rsidR="00827466" w:rsidTr="00970FC3">
        <w:trPr>
          <w:trHeight w:val="330"/>
        </w:trPr>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Adj. R-squared</w:t>
            </w:r>
          </w:p>
        </w:tc>
        <w:tc>
          <w:tcPr>
            <w:tcW w:w="0" w:type="auto"/>
            <w:tcBorders>
              <w:top w:val="nil"/>
              <w:left w:val="nil"/>
              <w:bottom w:val="single" w:sz="8"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C21CDB" w:rsidRDefault="00C21CDB">
            <w:pPr>
              <w:jc w:val="center"/>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0.010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0.010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0.020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0.030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0.050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r>
      <w:tr w:rsidR="00C21CDB" w:rsidTr="00970FC3">
        <w:trPr>
          <w:trHeight w:val="315"/>
        </w:trPr>
        <w:tc>
          <w:tcPr>
            <w:tcW w:w="0" w:type="auto"/>
            <w:gridSpan w:val="6"/>
            <w:tcBorders>
              <w:top w:val="single" w:sz="8" w:space="0" w:color="auto"/>
              <w:left w:val="nil"/>
              <w:bottom w:val="nil"/>
              <w:right w:val="nil"/>
            </w:tcBorders>
            <w:shd w:val="clear" w:color="auto" w:fill="auto"/>
            <w:noWrap/>
            <w:vAlign w:val="center"/>
            <w:hideMark/>
          </w:tcPr>
          <w:p w:rsidR="00C21CDB" w:rsidRDefault="00C21CDB">
            <w:pPr>
              <w:rPr>
                <w:color w:val="000000"/>
                <w:sz w:val="16"/>
                <w:szCs w:val="16"/>
              </w:rPr>
            </w:pPr>
            <w:r>
              <w:rPr>
                <w:color w:val="000000"/>
                <w:sz w:val="16"/>
                <w:szCs w:val="16"/>
              </w:rPr>
              <w:t>t-statistics in parentheses, *** p&lt;0.01, ** p&lt;0.05, * p&lt;0.10</w:t>
            </w: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r>
      <w:tr w:rsidR="00827466" w:rsidTr="00970FC3">
        <w:trPr>
          <w:trHeight w:val="315"/>
        </w:trPr>
        <w:tc>
          <w:tcPr>
            <w:tcW w:w="0" w:type="auto"/>
            <w:tcBorders>
              <w:top w:val="nil"/>
              <w:left w:val="nil"/>
              <w:bottom w:val="nil"/>
              <w:right w:val="nil"/>
            </w:tcBorders>
            <w:shd w:val="clear" w:color="auto" w:fill="auto"/>
            <w:noWrap/>
            <w:vAlign w:val="center"/>
            <w:hideMark/>
          </w:tcPr>
          <w:p w:rsidR="00C21CDB" w:rsidRDefault="00C21CDB">
            <w:pPr>
              <w:jc w:val="center"/>
              <w:rPr>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r>
      <w:tr w:rsidR="00D07E60" w:rsidTr="00970FC3">
        <w:trPr>
          <w:trHeight w:val="315"/>
        </w:trPr>
        <w:tc>
          <w:tcPr>
            <w:tcW w:w="0" w:type="auto"/>
            <w:gridSpan w:val="2"/>
            <w:tcBorders>
              <w:top w:val="nil"/>
              <w:left w:val="nil"/>
              <w:bottom w:val="nil"/>
              <w:right w:val="nil"/>
            </w:tcBorders>
            <w:shd w:val="clear" w:color="auto" w:fill="auto"/>
            <w:noWrap/>
            <w:vAlign w:val="center"/>
            <w:hideMark/>
          </w:tcPr>
          <w:p w:rsidR="00C21CDB" w:rsidRDefault="00C21CDB">
            <w:pPr>
              <w:rPr>
                <w:color w:val="000000"/>
                <w:sz w:val="16"/>
                <w:szCs w:val="16"/>
              </w:rPr>
            </w:pPr>
            <w:r>
              <w:rPr>
                <w:color w:val="000000"/>
                <w:sz w:val="16"/>
                <w:szCs w:val="16"/>
              </w:rPr>
              <w:t>Panel B:  VIX and VVIX Return Forecast</w:t>
            </w: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r>
      <w:tr w:rsidR="00827466" w:rsidTr="00970FC3">
        <w:trPr>
          <w:trHeight w:val="315"/>
        </w:trPr>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Forecast Days Ahead</w:t>
            </w:r>
            <w:r w:rsidR="00970FC3">
              <w:rPr>
                <w:color w:val="000000"/>
                <w:sz w:val="16"/>
                <w:szCs w:val="16"/>
              </w:rPr>
              <w:t xml:space="preserve"> (</w:t>
            </w:r>
            <w:r w:rsidR="00970FC3" w:rsidRPr="00970FC3">
              <w:rPr>
                <w:i/>
                <w:color w:val="000000"/>
                <w:sz w:val="16"/>
                <w:szCs w:val="16"/>
              </w:rPr>
              <w:t>n</w:t>
            </w:r>
            <w:r w:rsidR="00970FC3">
              <w:rPr>
                <w:color w:val="000000"/>
                <w:sz w:val="16"/>
                <w:szCs w:val="16"/>
              </w:rPr>
              <w:t>)</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1</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2</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center"/>
              <w:rPr>
                <w:color w:val="000000"/>
                <w:sz w:val="16"/>
                <w:szCs w:val="16"/>
              </w:rPr>
            </w:pPr>
            <w:r>
              <w:rPr>
                <w:color w:val="000000"/>
                <w:sz w:val="16"/>
                <w:szCs w:val="16"/>
              </w:rPr>
              <w:t>5</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10</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20</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30</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40</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50</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60</w:t>
            </w:r>
          </w:p>
        </w:tc>
        <w:tc>
          <w:tcPr>
            <w:tcW w:w="0" w:type="auto"/>
            <w:tcBorders>
              <w:top w:val="single" w:sz="4" w:space="0" w:color="auto"/>
              <w:left w:val="nil"/>
              <w:bottom w:val="single" w:sz="4"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r>
      <w:tr w:rsidR="00827466" w:rsidTr="00970FC3">
        <w:trPr>
          <w:trHeight w:val="315"/>
        </w:trPr>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VIX</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-0.120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-0.244</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center"/>
              <w:rPr>
                <w:color w:val="000000"/>
                <w:sz w:val="16"/>
                <w:szCs w:val="16"/>
              </w:rPr>
            </w:pPr>
            <w:r>
              <w:rPr>
                <w:color w:val="000000"/>
                <w:sz w:val="16"/>
                <w:szCs w:val="16"/>
              </w:rPr>
              <w:t>-0.409</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-0.345</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0.644</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1.801</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2.946</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4.133</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5.491</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r>
      <w:tr w:rsidR="00827466" w:rsidTr="00970FC3">
        <w:trPr>
          <w:trHeight w:val="315"/>
        </w:trPr>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(-2.09)</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(-3</w:t>
            </w:r>
            <w:r w:rsidR="00924977">
              <w:rPr>
                <w:color w:val="000000"/>
                <w:sz w:val="16"/>
                <w:szCs w:val="16"/>
              </w:rPr>
              <w:t>.00</w:t>
            </w: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center"/>
              <w:rPr>
                <w:color w:val="000000"/>
                <w:sz w:val="16"/>
                <w:szCs w:val="16"/>
              </w:rPr>
            </w:pPr>
            <w:r>
              <w:rPr>
                <w:color w:val="000000"/>
                <w:sz w:val="16"/>
                <w:szCs w:val="16"/>
              </w:rPr>
              <w:t>(-3.26)</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(-2.02)</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(2.7</w:t>
            </w:r>
            <w:r w:rsidR="00924977">
              <w:rPr>
                <w:color w:val="000000"/>
                <w:sz w:val="16"/>
                <w:szCs w:val="16"/>
              </w:rPr>
              <w:t>0</w:t>
            </w: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(6.16)</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(8.64)</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(10.84)</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(13.51)</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r>
      <w:tr w:rsidR="00827466" w:rsidTr="00970FC3">
        <w:trPr>
          <w:trHeight w:val="315"/>
        </w:trPr>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VVIX</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0.244</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0.467</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center"/>
              <w:rPr>
                <w:color w:val="000000"/>
                <w:sz w:val="16"/>
                <w:szCs w:val="16"/>
              </w:rPr>
            </w:pPr>
            <w:r>
              <w:rPr>
                <w:color w:val="000000"/>
                <w:sz w:val="16"/>
                <w:szCs w:val="16"/>
              </w:rPr>
              <w:t>0.927</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1.210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0.242</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-1.640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-3.691</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-5.120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-5.611</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r>
      <w:tr w:rsidR="00827466" w:rsidTr="00970FC3">
        <w:trPr>
          <w:trHeight w:val="315"/>
        </w:trPr>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(2.4</w:t>
            </w:r>
            <w:r w:rsidR="00924977">
              <w:rPr>
                <w:color w:val="000000"/>
                <w:sz w:val="16"/>
                <w:szCs w:val="16"/>
              </w:rPr>
              <w:t>0</w:t>
            </w: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(3.24)</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center"/>
              <w:rPr>
                <w:color w:val="000000"/>
                <w:sz w:val="16"/>
                <w:szCs w:val="16"/>
              </w:rPr>
            </w:pPr>
            <w:r>
              <w:rPr>
                <w:color w:val="000000"/>
                <w:sz w:val="16"/>
                <w:szCs w:val="16"/>
              </w:rPr>
              <w:t>(4.17)</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(3.99)</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(0.57)</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(-3.13)</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(-6.05)</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(-7.49)</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(-7.67)</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r>
      <w:tr w:rsidR="00827466" w:rsidTr="00970FC3">
        <w:trPr>
          <w:trHeight w:val="315"/>
        </w:trPr>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Constant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center"/>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-0.003</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-0.004</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-0.006</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-0.007</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-0.008</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r>
      <w:tr w:rsidR="00827466" w:rsidTr="00970FC3">
        <w:trPr>
          <w:trHeight w:val="315"/>
        </w:trPr>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(-1.36)</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(-1.95)</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center"/>
              <w:rPr>
                <w:color w:val="000000"/>
                <w:sz w:val="16"/>
                <w:szCs w:val="16"/>
              </w:rPr>
            </w:pPr>
            <w:r>
              <w:rPr>
                <w:color w:val="000000"/>
                <w:sz w:val="16"/>
                <w:szCs w:val="16"/>
              </w:rPr>
              <w:t>(-3.14)</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(-4.63)</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(-6.64)</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(-8.07)</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(-9.22)</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(-10.3)</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(-11.6</w:t>
            </w:r>
            <w:r w:rsidR="00924977">
              <w:rPr>
                <w:color w:val="000000"/>
                <w:sz w:val="16"/>
                <w:szCs w:val="16"/>
              </w:rPr>
              <w:t>0</w:t>
            </w:r>
            <w:r>
              <w:rPr>
                <w:color w:val="000000"/>
                <w:sz w:val="16"/>
                <w:szCs w:val="16"/>
              </w:rPr>
              <w:t>)</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w:t>
            </w:r>
          </w:p>
        </w:tc>
      </w:tr>
      <w:tr w:rsidR="00827466" w:rsidTr="00970FC3">
        <w:trPr>
          <w:trHeight w:val="315"/>
        </w:trPr>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Observations</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2,161</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2,160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center"/>
              <w:rPr>
                <w:color w:val="000000"/>
                <w:sz w:val="16"/>
                <w:szCs w:val="16"/>
              </w:rPr>
            </w:pPr>
            <w:r>
              <w:rPr>
                <w:color w:val="000000"/>
                <w:sz w:val="16"/>
                <w:szCs w:val="16"/>
              </w:rPr>
              <w:t>2,157</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2,152</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2,142</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2,132</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2,122</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2,112</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2,102</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r>
      <w:tr w:rsidR="00827466" w:rsidTr="00970FC3">
        <w:trPr>
          <w:trHeight w:val="315"/>
        </w:trPr>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r>
              <w:rPr>
                <w:color w:val="000000"/>
                <w:sz w:val="16"/>
                <w:szCs w:val="16"/>
              </w:rPr>
              <w:t>R-squared</w:t>
            </w: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center"/>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0.020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0.030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0.050</w:t>
            </w:r>
          </w:p>
        </w:tc>
        <w:tc>
          <w:tcPr>
            <w:tcW w:w="0" w:type="auto"/>
            <w:tcBorders>
              <w:top w:val="nil"/>
              <w:left w:val="nil"/>
              <w:bottom w:val="nil"/>
              <w:right w:val="nil"/>
            </w:tcBorders>
            <w:shd w:val="clear" w:color="auto" w:fill="auto"/>
            <w:vAlign w:val="center"/>
            <w:hideMark/>
          </w:tcPr>
          <w:p w:rsidR="00C21CDB" w:rsidRDefault="00C21CDB">
            <w:pPr>
              <w:rPr>
                <w:color w:val="000000"/>
                <w:sz w:val="16"/>
                <w:szCs w:val="16"/>
              </w:rPr>
            </w:pPr>
          </w:p>
        </w:tc>
        <w:tc>
          <w:tcPr>
            <w:tcW w:w="0" w:type="auto"/>
            <w:tcBorders>
              <w:top w:val="nil"/>
              <w:left w:val="nil"/>
              <w:bottom w:val="nil"/>
              <w:right w:val="nil"/>
            </w:tcBorders>
            <w:shd w:val="clear" w:color="auto" w:fill="auto"/>
            <w:vAlign w:val="center"/>
            <w:hideMark/>
          </w:tcPr>
          <w:p w:rsidR="00C21CDB" w:rsidRDefault="00C21CDB">
            <w:pPr>
              <w:jc w:val="right"/>
              <w:rPr>
                <w:color w:val="000000"/>
                <w:sz w:val="16"/>
                <w:szCs w:val="16"/>
              </w:rPr>
            </w:pPr>
            <w:r>
              <w:rPr>
                <w:color w:val="000000"/>
                <w:sz w:val="16"/>
                <w:szCs w:val="16"/>
              </w:rPr>
              <w:t>0.080</w:t>
            </w: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r>
      <w:tr w:rsidR="00827466" w:rsidTr="00970FC3">
        <w:trPr>
          <w:trHeight w:val="330"/>
        </w:trPr>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Adj. R-squared</w:t>
            </w:r>
          </w:p>
        </w:tc>
        <w:tc>
          <w:tcPr>
            <w:tcW w:w="0" w:type="auto"/>
            <w:tcBorders>
              <w:top w:val="nil"/>
              <w:left w:val="nil"/>
              <w:bottom w:val="single" w:sz="8"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C21CDB" w:rsidRDefault="00C21CDB">
            <w:pPr>
              <w:jc w:val="center"/>
              <w:rPr>
                <w:color w:val="000000"/>
                <w:sz w:val="16"/>
                <w:szCs w:val="16"/>
              </w:rPr>
            </w:pPr>
            <w:r>
              <w:rPr>
                <w:color w:val="000000"/>
                <w:sz w:val="16"/>
                <w:szCs w:val="16"/>
              </w:rPr>
              <w:t>0.010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0.010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0.010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0.020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0.030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0.050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C21CDB" w:rsidRDefault="00C21CDB">
            <w:pPr>
              <w:jc w:val="right"/>
              <w:rPr>
                <w:color w:val="000000"/>
                <w:sz w:val="16"/>
                <w:szCs w:val="16"/>
              </w:rPr>
            </w:pPr>
            <w:r>
              <w:rPr>
                <w:color w:val="000000"/>
                <w:sz w:val="16"/>
                <w:szCs w:val="16"/>
              </w:rPr>
              <w:t>0.080</w:t>
            </w:r>
          </w:p>
        </w:tc>
        <w:tc>
          <w:tcPr>
            <w:tcW w:w="0" w:type="auto"/>
            <w:tcBorders>
              <w:top w:val="nil"/>
              <w:left w:val="nil"/>
              <w:bottom w:val="single" w:sz="8" w:space="0" w:color="auto"/>
              <w:right w:val="nil"/>
            </w:tcBorders>
            <w:shd w:val="clear" w:color="auto" w:fill="auto"/>
            <w:vAlign w:val="center"/>
            <w:hideMark/>
          </w:tcPr>
          <w:p w:rsidR="00C21CDB" w:rsidRDefault="00C21CDB">
            <w:pPr>
              <w:rPr>
                <w:color w:val="000000"/>
                <w:sz w:val="16"/>
                <w:szCs w:val="16"/>
              </w:rPr>
            </w:pPr>
            <w:r>
              <w:rPr>
                <w:color w:val="000000"/>
                <w:sz w:val="16"/>
                <w:szCs w:val="16"/>
              </w:rPr>
              <w:t> </w:t>
            </w:r>
          </w:p>
        </w:tc>
      </w:tr>
      <w:tr w:rsidR="00C21CDB" w:rsidTr="00970FC3">
        <w:trPr>
          <w:trHeight w:val="315"/>
        </w:trPr>
        <w:tc>
          <w:tcPr>
            <w:tcW w:w="0" w:type="auto"/>
            <w:gridSpan w:val="6"/>
            <w:tcBorders>
              <w:top w:val="single" w:sz="8" w:space="0" w:color="auto"/>
              <w:left w:val="nil"/>
              <w:bottom w:val="nil"/>
              <w:right w:val="nil"/>
            </w:tcBorders>
            <w:shd w:val="clear" w:color="auto" w:fill="auto"/>
            <w:noWrap/>
            <w:vAlign w:val="center"/>
            <w:hideMark/>
          </w:tcPr>
          <w:p w:rsidR="00C21CDB" w:rsidRDefault="00C21CDB">
            <w:pPr>
              <w:rPr>
                <w:color w:val="000000"/>
                <w:sz w:val="16"/>
                <w:szCs w:val="16"/>
              </w:rPr>
            </w:pPr>
            <w:r>
              <w:rPr>
                <w:color w:val="000000"/>
                <w:sz w:val="16"/>
                <w:szCs w:val="16"/>
              </w:rPr>
              <w:t>t-statistics in parentheses, *** p&lt;0.01, ** p&lt;0.05, * p&lt;0.10</w:t>
            </w: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C21CDB" w:rsidRDefault="00C21CDB">
            <w:pPr>
              <w:rPr>
                <w:rFonts w:ascii="Calibri" w:hAnsi="Calibri"/>
                <w:color w:val="000000"/>
                <w:sz w:val="16"/>
                <w:szCs w:val="16"/>
              </w:rPr>
            </w:pPr>
          </w:p>
        </w:tc>
      </w:tr>
    </w:tbl>
    <w:p w:rsidR="005A5BA2" w:rsidRDefault="005A5BA2" w:rsidP="00C21CDB">
      <w:pPr>
        <w:rPr>
          <w:szCs w:val="18"/>
        </w:rPr>
      </w:pPr>
    </w:p>
    <w:p w:rsidR="005A5BA2" w:rsidRDefault="005A5BA2">
      <w:pPr>
        <w:rPr>
          <w:szCs w:val="18"/>
        </w:rPr>
      </w:pPr>
      <w:r>
        <w:rPr>
          <w:szCs w:val="18"/>
        </w:rPr>
        <w:br w:type="page"/>
      </w:r>
    </w:p>
    <w:p w:rsidR="005C08C8" w:rsidRDefault="005C08C8" w:rsidP="005C08C8">
      <w:pPr>
        <w:rPr>
          <w:color w:val="000000"/>
          <w:sz w:val="16"/>
          <w:szCs w:val="16"/>
        </w:rPr>
      </w:pPr>
      <w:r>
        <w:rPr>
          <w:color w:val="000000"/>
          <w:sz w:val="16"/>
          <w:szCs w:val="16"/>
        </w:rPr>
        <w:lastRenderedPageBreak/>
        <w:t>Table 6</w:t>
      </w:r>
      <w:r w:rsidR="00980FF5">
        <w:rPr>
          <w:color w:val="000000"/>
          <w:sz w:val="16"/>
          <w:szCs w:val="16"/>
        </w:rPr>
        <w:t xml:space="preserve">  Forecast returns of the m</w:t>
      </w:r>
      <w:r>
        <w:rPr>
          <w:color w:val="000000"/>
          <w:sz w:val="16"/>
          <w:szCs w:val="16"/>
        </w:rPr>
        <w:t>id</w:t>
      </w:r>
      <w:r w:rsidR="00980FF5">
        <w:rPr>
          <w:color w:val="000000"/>
          <w:sz w:val="16"/>
          <w:szCs w:val="16"/>
        </w:rPr>
        <w:t xml:space="preserve">-cap value vs. growth ETFs </w:t>
      </w:r>
      <w:r>
        <w:rPr>
          <w:color w:val="000000"/>
          <w:sz w:val="16"/>
          <w:szCs w:val="16"/>
        </w:rPr>
        <w:t>based on levels of VIX and VVIX relative to their 75-day moving averages</w:t>
      </w:r>
    </w:p>
    <w:p w:rsidR="005A5BA2" w:rsidRDefault="005A5BA2" w:rsidP="005A5BA2">
      <w:pPr>
        <w:rPr>
          <w:color w:val="000000"/>
          <w:sz w:val="16"/>
          <w:szCs w:val="16"/>
        </w:rPr>
      </w:pPr>
    </w:p>
    <w:p w:rsidR="005A5BA2" w:rsidRDefault="005A5BA2" w:rsidP="005A5BA2">
      <w:pPr>
        <w:rPr>
          <w:color w:val="000000"/>
          <w:sz w:val="16"/>
          <w:szCs w:val="16"/>
        </w:rPr>
      </w:pPr>
    </w:p>
    <w:tbl>
      <w:tblPr>
        <w:tblW w:w="0" w:type="auto"/>
        <w:tblInd w:w="93" w:type="dxa"/>
        <w:tblLook w:val="04A0" w:firstRow="1" w:lastRow="0" w:firstColumn="1" w:lastColumn="0" w:noHBand="0" w:noVBand="1"/>
      </w:tblPr>
      <w:tblGrid>
        <w:gridCol w:w="2024"/>
        <w:gridCol w:w="872"/>
        <w:gridCol w:w="256"/>
        <w:gridCol w:w="656"/>
        <w:gridCol w:w="296"/>
        <w:gridCol w:w="656"/>
        <w:gridCol w:w="456"/>
        <w:gridCol w:w="656"/>
        <w:gridCol w:w="456"/>
        <w:gridCol w:w="656"/>
        <w:gridCol w:w="456"/>
        <w:gridCol w:w="656"/>
        <w:gridCol w:w="456"/>
        <w:gridCol w:w="656"/>
        <w:gridCol w:w="456"/>
        <w:gridCol w:w="656"/>
        <w:gridCol w:w="456"/>
        <w:gridCol w:w="736"/>
        <w:gridCol w:w="456"/>
      </w:tblGrid>
      <w:tr w:rsidR="0098372E" w:rsidTr="0098372E">
        <w:trPr>
          <w:trHeight w:val="300"/>
        </w:trPr>
        <w:tc>
          <w:tcPr>
            <w:tcW w:w="0" w:type="auto"/>
            <w:gridSpan w:val="2"/>
            <w:tcBorders>
              <w:top w:val="nil"/>
              <w:left w:val="nil"/>
              <w:bottom w:val="nil"/>
              <w:right w:val="nil"/>
            </w:tcBorders>
            <w:shd w:val="clear" w:color="auto" w:fill="auto"/>
            <w:noWrap/>
            <w:vAlign w:val="bottom"/>
            <w:hideMark/>
          </w:tcPr>
          <w:p w:rsidR="0098372E" w:rsidRDefault="0098372E">
            <w:pPr>
              <w:rPr>
                <w:color w:val="000000"/>
                <w:sz w:val="16"/>
                <w:szCs w:val="16"/>
              </w:rPr>
            </w:pPr>
            <w:r>
              <w:rPr>
                <w:color w:val="000000"/>
                <w:sz w:val="16"/>
                <w:szCs w:val="16"/>
              </w:rPr>
              <w:t>Panel A:  VIX only Return Forecast</w:t>
            </w: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r>
      <w:tr w:rsidR="0098372E" w:rsidTr="0098372E">
        <w:trPr>
          <w:trHeight w:val="315"/>
        </w:trPr>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Forecast Days Ahead</w:t>
            </w:r>
            <w:r w:rsidR="00970FC3">
              <w:rPr>
                <w:color w:val="000000"/>
                <w:sz w:val="16"/>
                <w:szCs w:val="16"/>
              </w:rPr>
              <w:t xml:space="preserve"> (</w:t>
            </w:r>
            <w:r w:rsidR="00970FC3" w:rsidRPr="00970FC3">
              <w:rPr>
                <w:i/>
                <w:color w:val="000000"/>
                <w:sz w:val="16"/>
                <w:szCs w:val="16"/>
              </w:rPr>
              <w:t>n</w:t>
            </w:r>
            <w:r w:rsidR="00970FC3">
              <w:rPr>
                <w:color w:val="000000"/>
                <w:sz w:val="16"/>
                <w:szCs w:val="16"/>
              </w:rPr>
              <w:t>)</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1</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2</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5</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10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20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30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40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50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60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r>
      <w:tr w:rsidR="0098372E" w:rsidTr="0098372E">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VIX</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0.020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0.038</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0.022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-0.025</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-0.013</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-0.069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-0.267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-0.090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0.439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98372E">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(0.57)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(0.81)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(0.32)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(-0.26)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(-0.1</w:t>
            </w:r>
            <w:r w:rsidR="00924977">
              <w:rPr>
                <w:color w:val="000000"/>
                <w:sz w:val="16"/>
                <w:szCs w:val="16"/>
              </w:rPr>
              <w:t>0</w:t>
            </w: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(-0.42)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(-1.39)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(-0.42)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(1.84)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r>
      <w:tr w:rsidR="0098372E" w:rsidTr="0098372E">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Constant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-0.003</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-0.005</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98372E">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(-0.96)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(-1.59)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(-2.9</w:t>
            </w:r>
            <w:r w:rsidR="00924977">
              <w:rPr>
                <w:color w:val="000000"/>
                <w:sz w:val="16"/>
                <w:szCs w:val="16"/>
              </w:rPr>
              <w:t>0</w:t>
            </w: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(-4.34)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(-6.01)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(-7.49)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(-8.75)</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(-9.97)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(-11.13)</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r>
      <w:tr w:rsidR="0098372E" w:rsidTr="0098372E">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98372E">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Observations</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2,161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2,160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2,157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2,152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2,142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2,132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2,122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2,112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2,102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98372E">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R-squared</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98372E">
        <w:trPr>
          <w:trHeight w:val="330"/>
        </w:trPr>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Adj. R-squared</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center"/>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r>
      <w:tr w:rsidR="0098372E" w:rsidTr="0098372E">
        <w:trPr>
          <w:trHeight w:val="315"/>
        </w:trPr>
        <w:tc>
          <w:tcPr>
            <w:tcW w:w="0" w:type="auto"/>
            <w:gridSpan w:val="6"/>
            <w:tcBorders>
              <w:top w:val="single" w:sz="8" w:space="0" w:color="auto"/>
              <w:left w:val="nil"/>
              <w:bottom w:val="nil"/>
              <w:right w:val="nil"/>
            </w:tcBorders>
            <w:shd w:val="clear" w:color="auto" w:fill="auto"/>
            <w:noWrap/>
            <w:vAlign w:val="center"/>
            <w:hideMark/>
          </w:tcPr>
          <w:p w:rsidR="0098372E" w:rsidRDefault="0098372E">
            <w:pPr>
              <w:rPr>
                <w:color w:val="000000"/>
                <w:sz w:val="16"/>
                <w:szCs w:val="16"/>
              </w:rPr>
            </w:pPr>
            <w:r>
              <w:rPr>
                <w:color w:val="000000"/>
                <w:sz w:val="16"/>
                <w:szCs w:val="16"/>
              </w:rPr>
              <w:t>t-statistics in parentheses, *** p&lt;0.01, ** p&lt;0.05, * p&lt;0.10</w:t>
            </w: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r>
      <w:tr w:rsidR="0098372E" w:rsidTr="0098372E">
        <w:trPr>
          <w:trHeight w:val="315"/>
        </w:trPr>
        <w:tc>
          <w:tcPr>
            <w:tcW w:w="0" w:type="auto"/>
            <w:tcBorders>
              <w:top w:val="nil"/>
              <w:left w:val="nil"/>
              <w:bottom w:val="nil"/>
              <w:right w:val="nil"/>
            </w:tcBorders>
            <w:shd w:val="clear" w:color="auto" w:fill="auto"/>
            <w:noWrap/>
            <w:vAlign w:val="center"/>
            <w:hideMark/>
          </w:tcPr>
          <w:p w:rsidR="0098372E" w:rsidRDefault="0098372E">
            <w:pPr>
              <w:jc w:val="center"/>
              <w:rPr>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r>
      <w:tr w:rsidR="0098372E" w:rsidTr="0098372E">
        <w:trPr>
          <w:trHeight w:val="315"/>
        </w:trPr>
        <w:tc>
          <w:tcPr>
            <w:tcW w:w="0" w:type="auto"/>
            <w:gridSpan w:val="2"/>
            <w:tcBorders>
              <w:top w:val="nil"/>
              <w:left w:val="nil"/>
              <w:bottom w:val="nil"/>
              <w:right w:val="nil"/>
            </w:tcBorders>
            <w:shd w:val="clear" w:color="auto" w:fill="auto"/>
            <w:noWrap/>
            <w:vAlign w:val="center"/>
            <w:hideMark/>
          </w:tcPr>
          <w:p w:rsidR="0098372E" w:rsidRDefault="0098372E">
            <w:pPr>
              <w:rPr>
                <w:color w:val="000000"/>
                <w:sz w:val="16"/>
                <w:szCs w:val="16"/>
              </w:rPr>
            </w:pPr>
            <w:r>
              <w:rPr>
                <w:color w:val="000000"/>
                <w:sz w:val="16"/>
                <w:szCs w:val="16"/>
              </w:rPr>
              <w:t>Panel B:  VIX and VVIX Return Forecast</w:t>
            </w: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r>
      <w:tr w:rsidR="0098372E" w:rsidTr="0098372E">
        <w:trPr>
          <w:trHeight w:val="315"/>
        </w:trPr>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Forecast Days Ahead</w:t>
            </w:r>
            <w:r w:rsidR="00970FC3">
              <w:rPr>
                <w:color w:val="000000"/>
                <w:sz w:val="16"/>
                <w:szCs w:val="16"/>
              </w:rPr>
              <w:t xml:space="preserve"> (</w:t>
            </w:r>
            <w:r w:rsidR="00970FC3" w:rsidRPr="00970FC3">
              <w:rPr>
                <w:i/>
                <w:color w:val="000000"/>
                <w:sz w:val="16"/>
                <w:szCs w:val="16"/>
              </w:rPr>
              <w:t>n</w:t>
            </w:r>
            <w:r w:rsidR="00970FC3">
              <w:rPr>
                <w:color w:val="000000"/>
                <w:sz w:val="16"/>
                <w:szCs w:val="16"/>
              </w:rPr>
              <w:t>)</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1</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2</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center"/>
              <w:rPr>
                <w:color w:val="000000"/>
                <w:sz w:val="16"/>
                <w:szCs w:val="16"/>
              </w:rPr>
            </w:pPr>
            <w:r>
              <w:rPr>
                <w:color w:val="000000"/>
                <w:sz w:val="16"/>
                <w:szCs w:val="16"/>
              </w:rPr>
              <w:t>5</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10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20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30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40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50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60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r>
      <w:tr w:rsidR="0098372E" w:rsidTr="0098372E">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VIX</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-0.019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-0.042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-0.146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-0.264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-0.193</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-0.079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0.119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0.570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1.379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98372E">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(-0.39)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(-0.67)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(-1.6</w:t>
            </w:r>
            <w:r w:rsidR="00924977">
              <w:rPr>
                <w:color w:val="000000"/>
                <w:sz w:val="16"/>
                <w:szCs w:val="16"/>
              </w:rPr>
              <w:t>0</w:t>
            </w: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(-1.08)</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(-0.36)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(0.46)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(1.99)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(4.37)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r>
      <w:tr w:rsidR="0098372E" w:rsidTr="0098372E">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VVIX</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0.104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0.213</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0.446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0.638</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0.482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0.025</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-1.036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-1.778</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-2.580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98372E">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(1.22)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(1.9</w:t>
            </w:r>
            <w:r w:rsidR="00924977">
              <w:rPr>
                <w:color w:val="000000"/>
                <w:sz w:val="16"/>
                <w:szCs w:val="16"/>
              </w:rPr>
              <w:t>0</w:t>
            </w: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(2.75)</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(2.86)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(1.51)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(-2.26)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(-3.45)</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(-4.55)</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r>
      <w:tr w:rsidR="0098372E" w:rsidTr="0098372E">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Constant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-0.003</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-0.005</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98372E">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(-0.96)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(-1.58)</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(-2.9</w:t>
            </w:r>
            <w:r w:rsidR="00924977">
              <w:rPr>
                <w:color w:val="000000"/>
                <w:sz w:val="16"/>
                <w:szCs w:val="16"/>
              </w:rPr>
              <w:t>0</w:t>
            </w: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(-4.34)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(-6.01)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(-7.49)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(-8.76)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(-9.99)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(-11.14)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r>
      <w:tr w:rsidR="0098372E" w:rsidTr="0098372E">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98372E">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Observations</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2,161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2,160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2,157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2,152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2,142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2,132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2,122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2,112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2,102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98372E">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R-squared</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r>
      <w:tr w:rsidR="0098372E" w:rsidTr="0098372E">
        <w:trPr>
          <w:trHeight w:val="330"/>
        </w:trPr>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Adj. R-squared</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center"/>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r>
      <w:tr w:rsidR="0098372E" w:rsidTr="0098372E">
        <w:trPr>
          <w:trHeight w:val="315"/>
        </w:trPr>
        <w:tc>
          <w:tcPr>
            <w:tcW w:w="0" w:type="auto"/>
            <w:gridSpan w:val="6"/>
            <w:tcBorders>
              <w:top w:val="single" w:sz="8" w:space="0" w:color="auto"/>
              <w:left w:val="nil"/>
              <w:bottom w:val="nil"/>
              <w:right w:val="nil"/>
            </w:tcBorders>
            <w:shd w:val="clear" w:color="auto" w:fill="auto"/>
            <w:noWrap/>
            <w:vAlign w:val="center"/>
            <w:hideMark/>
          </w:tcPr>
          <w:p w:rsidR="0098372E" w:rsidRDefault="0098372E">
            <w:pPr>
              <w:rPr>
                <w:color w:val="000000"/>
                <w:sz w:val="16"/>
                <w:szCs w:val="16"/>
              </w:rPr>
            </w:pPr>
            <w:r>
              <w:rPr>
                <w:color w:val="000000"/>
                <w:sz w:val="16"/>
                <w:szCs w:val="16"/>
              </w:rPr>
              <w:t>t-statistics in parentheses, *** p&lt;0.01, ** p&lt;0.05, * p&lt;0.10</w:t>
            </w: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r>
    </w:tbl>
    <w:p w:rsidR="0098372E" w:rsidRDefault="0098372E">
      <w:pPr>
        <w:rPr>
          <w:szCs w:val="18"/>
        </w:rPr>
      </w:pPr>
      <w:r>
        <w:rPr>
          <w:szCs w:val="18"/>
        </w:rPr>
        <w:t xml:space="preserve"> </w:t>
      </w:r>
    </w:p>
    <w:p w:rsidR="005A5BA2" w:rsidRDefault="0098372E" w:rsidP="00142FA2">
      <w:pPr>
        <w:tabs>
          <w:tab w:val="left" w:pos="5295"/>
        </w:tabs>
        <w:rPr>
          <w:szCs w:val="18"/>
        </w:rPr>
      </w:pPr>
      <w:r>
        <w:rPr>
          <w:szCs w:val="18"/>
        </w:rPr>
        <w:t xml:space="preserve"> </w:t>
      </w:r>
      <w:r w:rsidR="005A5BA2">
        <w:rPr>
          <w:szCs w:val="18"/>
        </w:rPr>
        <w:br w:type="page"/>
      </w:r>
      <w:r w:rsidR="00142FA2">
        <w:rPr>
          <w:szCs w:val="18"/>
        </w:rPr>
        <w:lastRenderedPageBreak/>
        <w:tab/>
      </w:r>
    </w:p>
    <w:p w:rsidR="005C08C8" w:rsidRDefault="005C08C8" w:rsidP="005C08C8">
      <w:pPr>
        <w:rPr>
          <w:color w:val="000000"/>
          <w:sz w:val="16"/>
          <w:szCs w:val="16"/>
        </w:rPr>
      </w:pPr>
      <w:r>
        <w:rPr>
          <w:color w:val="000000"/>
          <w:sz w:val="16"/>
          <w:szCs w:val="16"/>
        </w:rPr>
        <w:t>Table 7</w:t>
      </w:r>
      <w:r w:rsidR="00980FF5">
        <w:rPr>
          <w:color w:val="000000"/>
          <w:sz w:val="16"/>
          <w:szCs w:val="16"/>
        </w:rPr>
        <w:t xml:space="preserve">  Forecast returns of the s</w:t>
      </w:r>
      <w:r>
        <w:rPr>
          <w:color w:val="000000"/>
          <w:sz w:val="16"/>
          <w:szCs w:val="16"/>
        </w:rPr>
        <w:t>mall</w:t>
      </w:r>
      <w:r w:rsidR="00980FF5">
        <w:rPr>
          <w:color w:val="000000"/>
          <w:sz w:val="16"/>
          <w:szCs w:val="16"/>
        </w:rPr>
        <w:t xml:space="preserve">-cap value vs. growth ETFs </w:t>
      </w:r>
      <w:r>
        <w:rPr>
          <w:color w:val="000000"/>
          <w:sz w:val="16"/>
          <w:szCs w:val="16"/>
        </w:rPr>
        <w:t>based on levels of VIX and VVIX relative to their 75-day moving averages</w:t>
      </w:r>
    </w:p>
    <w:p w:rsidR="0098372E" w:rsidRDefault="0098372E" w:rsidP="00F91F28">
      <w:pPr>
        <w:rPr>
          <w:color w:val="000000"/>
          <w:sz w:val="16"/>
          <w:szCs w:val="16"/>
        </w:rPr>
      </w:pPr>
    </w:p>
    <w:p w:rsidR="0098372E" w:rsidRDefault="0098372E" w:rsidP="00F91F28">
      <w:pPr>
        <w:rPr>
          <w:color w:val="000000"/>
          <w:sz w:val="16"/>
          <w:szCs w:val="16"/>
        </w:rPr>
      </w:pPr>
    </w:p>
    <w:tbl>
      <w:tblPr>
        <w:tblW w:w="0" w:type="auto"/>
        <w:tblInd w:w="93" w:type="dxa"/>
        <w:tblLook w:val="04A0" w:firstRow="1" w:lastRow="0" w:firstColumn="1" w:lastColumn="0" w:noHBand="0" w:noVBand="1"/>
      </w:tblPr>
      <w:tblGrid>
        <w:gridCol w:w="2024"/>
        <w:gridCol w:w="872"/>
        <w:gridCol w:w="456"/>
        <w:gridCol w:w="656"/>
        <w:gridCol w:w="456"/>
        <w:gridCol w:w="656"/>
        <w:gridCol w:w="456"/>
        <w:gridCol w:w="656"/>
        <w:gridCol w:w="456"/>
        <w:gridCol w:w="656"/>
        <w:gridCol w:w="456"/>
        <w:gridCol w:w="656"/>
        <w:gridCol w:w="456"/>
        <w:gridCol w:w="656"/>
        <w:gridCol w:w="456"/>
        <w:gridCol w:w="656"/>
        <w:gridCol w:w="456"/>
        <w:gridCol w:w="656"/>
        <w:gridCol w:w="456"/>
      </w:tblGrid>
      <w:tr w:rsidR="0098372E" w:rsidTr="00D8663F">
        <w:trPr>
          <w:trHeight w:val="300"/>
        </w:trPr>
        <w:tc>
          <w:tcPr>
            <w:tcW w:w="0" w:type="auto"/>
            <w:gridSpan w:val="2"/>
            <w:tcBorders>
              <w:top w:val="nil"/>
              <w:left w:val="nil"/>
              <w:bottom w:val="nil"/>
              <w:right w:val="nil"/>
            </w:tcBorders>
            <w:shd w:val="clear" w:color="auto" w:fill="auto"/>
            <w:noWrap/>
            <w:vAlign w:val="bottom"/>
            <w:hideMark/>
          </w:tcPr>
          <w:p w:rsidR="0098372E" w:rsidRDefault="0098372E">
            <w:pPr>
              <w:rPr>
                <w:color w:val="000000"/>
                <w:sz w:val="16"/>
                <w:szCs w:val="16"/>
              </w:rPr>
            </w:pPr>
            <w:r>
              <w:rPr>
                <w:color w:val="000000"/>
                <w:sz w:val="16"/>
                <w:szCs w:val="16"/>
              </w:rPr>
              <w:t>Panel A:  VIX only Return Forecast</w:t>
            </w: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r>
      <w:tr w:rsidR="0098372E" w:rsidTr="00D8663F">
        <w:trPr>
          <w:trHeight w:val="315"/>
        </w:trPr>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Forecast Days Ahead</w:t>
            </w:r>
            <w:r w:rsidR="00970FC3">
              <w:rPr>
                <w:color w:val="000000"/>
                <w:sz w:val="16"/>
                <w:szCs w:val="16"/>
              </w:rPr>
              <w:t xml:space="preserve"> (</w:t>
            </w:r>
            <w:r w:rsidR="00970FC3" w:rsidRPr="00970FC3">
              <w:rPr>
                <w:i/>
                <w:color w:val="000000"/>
                <w:sz w:val="16"/>
                <w:szCs w:val="16"/>
              </w:rPr>
              <w:t>n</w:t>
            </w:r>
            <w:r w:rsidR="00970FC3">
              <w:rPr>
                <w:color w:val="000000"/>
                <w:sz w:val="16"/>
                <w:szCs w:val="16"/>
              </w:rPr>
              <w:t>)</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1</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2</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5</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10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20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30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40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50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60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r>
      <w:tr w:rsidR="0098372E" w:rsidTr="00D8663F">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VIX</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0.035</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0.062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0.104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0.236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0.431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0.630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0.646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0.604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0.817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D8663F">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(0.95)</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(1.34)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(1.54)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(2.58)</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(3.29)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(3.89)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(3.37)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(2.79)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(3.41)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r>
      <w:tr w:rsidR="0098372E" w:rsidTr="00D8663F">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Constant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-0.003</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-0.003</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D8663F">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(-0.5</w:t>
            </w:r>
            <w:r w:rsidR="00924977">
              <w:rPr>
                <w:color w:val="000000"/>
                <w:sz w:val="16"/>
                <w:szCs w:val="16"/>
              </w:rPr>
              <w:t>0</w:t>
            </w: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(-0.96)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(-1.82)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(-2.83)</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(-4.01)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(-5.01)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(-5.87)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(-6.86)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(-8</w:t>
            </w:r>
            <w:r w:rsidR="00924977">
              <w:rPr>
                <w:color w:val="000000"/>
                <w:sz w:val="16"/>
                <w:szCs w:val="16"/>
              </w:rPr>
              <w:t>.00</w:t>
            </w: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r>
      <w:tr w:rsidR="0098372E" w:rsidTr="00D8663F">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D8663F">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Observations</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2,161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2,160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2,157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2,152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2,142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2,132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2,122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2,112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2,102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D8663F">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R-squared</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D8663F">
        <w:trPr>
          <w:trHeight w:val="330"/>
        </w:trPr>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Adj. R-squared</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center"/>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r>
      <w:tr w:rsidR="0098372E" w:rsidTr="00D8663F">
        <w:trPr>
          <w:trHeight w:val="315"/>
        </w:trPr>
        <w:tc>
          <w:tcPr>
            <w:tcW w:w="0" w:type="auto"/>
            <w:gridSpan w:val="6"/>
            <w:tcBorders>
              <w:top w:val="single" w:sz="8" w:space="0" w:color="auto"/>
              <w:left w:val="nil"/>
              <w:bottom w:val="nil"/>
              <w:right w:val="nil"/>
            </w:tcBorders>
            <w:shd w:val="clear" w:color="auto" w:fill="auto"/>
            <w:noWrap/>
            <w:vAlign w:val="center"/>
            <w:hideMark/>
          </w:tcPr>
          <w:p w:rsidR="0098372E" w:rsidRDefault="0098372E">
            <w:pPr>
              <w:rPr>
                <w:color w:val="000000"/>
                <w:sz w:val="16"/>
                <w:szCs w:val="16"/>
              </w:rPr>
            </w:pPr>
            <w:r>
              <w:rPr>
                <w:color w:val="000000"/>
                <w:sz w:val="16"/>
                <w:szCs w:val="16"/>
              </w:rPr>
              <w:t>t-statistics in parentheses, *** p&lt;0.01, ** p&lt;0.05, * p&lt;0.10</w:t>
            </w: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r>
      <w:tr w:rsidR="0098372E" w:rsidTr="00D8663F">
        <w:trPr>
          <w:trHeight w:val="315"/>
        </w:trPr>
        <w:tc>
          <w:tcPr>
            <w:tcW w:w="0" w:type="auto"/>
            <w:tcBorders>
              <w:top w:val="nil"/>
              <w:left w:val="nil"/>
              <w:bottom w:val="nil"/>
              <w:right w:val="nil"/>
            </w:tcBorders>
            <w:shd w:val="clear" w:color="auto" w:fill="auto"/>
            <w:noWrap/>
            <w:vAlign w:val="center"/>
            <w:hideMark/>
          </w:tcPr>
          <w:p w:rsidR="0098372E" w:rsidRDefault="0098372E">
            <w:pPr>
              <w:jc w:val="center"/>
              <w:rPr>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r>
      <w:tr w:rsidR="0098372E" w:rsidTr="00D8663F">
        <w:trPr>
          <w:trHeight w:val="315"/>
        </w:trPr>
        <w:tc>
          <w:tcPr>
            <w:tcW w:w="0" w:type="auto"/>
            <w:gridSpan w:val="2"/>
            <w:tcBorders>
              <w:top w:val="nil"/>
              <w:left w:val="nil"/>
              <w:bottom w:val="nil"/>
              <w:right w:val="nil"/>
            </w:tcBorders>
            <w:shd w:val="clear" w:color="auto" w:fill="auto"/>
            <w:noWrap/>
            <w:vAlign w:val="center"/>
            <w:hideMark/>
          </w:tcPr>
          <w:p w:rsidR="0098372E" w:rsidRDefault="0098372E">
            <w:pPr>
              <w:rPr>
                <w:color w:val="000000"/>
                <w:sz w:val="16"/>
                <w:szCs w:val="16"/>
              </w:rPr>
            </w:pPr>
            <w:r>
              <w:rPr>
                <w:color w:val="000000"/>
                <w:sz w:val="16"/>
                <w:szCs w:val="16"/>
              </w:rPr>
              <w:t>Panel B:  VIX and VVIX Return Forecast</w:t>
            </w: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r>
      <w:tr w:rsidR="0098372E" w:rsidTr="00D8663F">
        <w:trPr>
          <w:trHeight w:val="315"/>
        </w:trPr>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Forecast Days Ahead</w:t>
            </w:r>
            <w:r w:rsidR="00970FC3">
              <w:rPr>
                <w:color w:val="000000"/>
                <w:sz w:val="16"/>
                <w:szCs w:val="16"/>
              </w:rPr>
              <w:t xml:space="preserve"> (</w:t>
            </w:r>
            <w:r w:rsidR="00970FC3" w:rsidRPr="00970FC3">
              <w:rPr>
                <w:i/>
                <w:color w:val="000000"/>
                <w:sz w:val="16"/>
                <w:szCs w:val="16"/>
              </w:rPr>
              <w:t>n</w:t>
            </w:r>
            <w:r w:rsidR="00970FC3">
              <w:rPr>
                <w:color w:val="000000"/>
                <w:sz w:val="16"/>
                <w:szCs w:val="16"/>
              </w:rPr>
              <w:t>)</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1</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2</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center"/>
              <w:rPr>
                <w:color w:val="000000"/>
                <w:sz w:val="16"/>
                <w:szCs w:val="16"/>
              </w:rPr>
            </w:pPr>
            <w:r>
              <w:rPr>
                <w:color w:val="000000"/>
                <w:sz w:val="16"/>
                <w:szCs w:val="16"/>
              </w:rPr>
              <w:t>5</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10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20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30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40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50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60</w:t>
            </w:r>
          </w:p>
        </w:tc>
        <w:tc>
          <w:tcPr>
            <w:tcW w:w="0" w:type="auto"/>
            <w:tcBorders>
              <w:top w:val="single" w:sz="4" w:space="0" w:color="auto"/>
              <w:left w:val="nil"/>
              <w:bottom w:val="single" w:sz="4"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r>
      <w:tr w:rsidR="0098372E" w:rsidTr="00D8663F">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VIX</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-0.052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-0.088</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-0.196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-0.196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0.059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0.405</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0.753</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1.013</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1.557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D8663F">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(-1.06)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(-1.41)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(-2.16)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(-1.6</w:t>
            </w:r>
            <w:r w:rsidR="00924977">
              <w:rPr>
                <w:color w:val="000000"/>
                <w:sz w:val="16"/>
                <w:szCs w:val="16"/>
              </w:rPr>
              <w:t>0</w:t>
            </w: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(0.34)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(1.87)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(2.93)</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(3.5</w:t>
            </w:r>
            <w:r w:rsidR="00924977">
              <w:rPr>
                <w:color w:val="000000"/>
                <w:sz w:val="16"/>
                <w:szCs w:val="16"/>
              </w:rPr>
              <w:t>0</w:t>
            </w: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(4.92)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r>
      <w:tr w:rsidR="0098372E" w:rsidTr="00D8663F">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VVIX</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0.228</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0.398</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0.795</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1.149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0.997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0.605</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-0.285</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-1.102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-2.032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D8663F">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(2.64)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(3.6</w:t>
            </w:r>
            <w:r w:rsidR="00924977">
              <w:rPr>
                <w:color w:val="000000"/>
                <w:sz w:val="16"/>
                <w:szCs w:val="16"/>
              </w:rPr>
              <w:t>0</w:t>
            </w: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(4.96)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(5.3</w:t>
            </w:r>
            <w:r w:rsidR="00924977">
              <w:rPr>
                <w:color w:val="000000"/>
                <w:sz w:val="16"/>
                <w:szCs w:val="16"/>
              </w:rPr>
              <w:t>0</w:t>
            </w: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(3.18)</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(1.56)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(-0.62)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(-3.57)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r>
      <w:tr w:rsidR="0098372E" w:rsidTr="00D8663F">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Constant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-0.003</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-0.003</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D8663F">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(-0.49)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(-0.95)</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 xml:space="preserve"> </w:t>
            </w: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(-1.81)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(-2.84)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(-4.04)</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(-5.02)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(-5.87)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(-6.86)</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(-7.99)</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w:t>
            </w:r>
          </w:p>
        </w:tc>
      </w:tr>
      <w:tr w:rsidR="0098372E" w:rsidTr="00D8663F">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D8663F">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Observations</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2,161</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2,160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2,157</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2,152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2,142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2,132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2,122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2,112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2,102</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r>
      <w:tr w:rsidR="0098372E" w:rsidTr="00D8663F">
        <w:trPr>
          <w:trHeight w:val="315"/>
        </w:trPr>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r>
              <w:rPr>
                <w:color w:val="000000"/>
                <w:sz w:val="16"/>
                <w:szCs w:val="16"/>
              </w:rPr>
              <w:t>R-squared</w:t>
            </w: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center"/>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0.020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vAlign w:val="center"/>
            <w:hideMark/>
          </w:tcPr>
          <w:p w:rsidR="0098372E" w:rsidRDefault="0098372E">
            <w:pPr>
              <w:rPr>
                <w:color w:val="000000"/>
                <w:sz w:val="16"/>
                <w:szCs w:val="16"/>
              </w:rPr>
            </w:pPr>
          </w:p>
        </w:tc>
        <w:tc>
          <w:tcPr>
            <w:tcW w:w="0" w:type="auto"/>
            <w:tcBorders>
              <w:top w:val="nil"/>
              <w:left w:val="nil"/>
              <w:bottom w:val="nil"/>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r>
      <w:tr w:rsidR="0098372E" w:rsidTr="00D8663F">
        <w:trPr>
          <w:trHeight w:val="330"/>
        </w:trPr>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Adj. R-squared</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center"/>
              <w:rPr>
                <w:color w:val="000000"/>
                <w:sz w:val="16"/>
                <w:szCs w:val="16"/>
              </w:rPr>
            </w:pPr>
            <w:r>
              <w:rPr>
                <w:color w:val="000000"/>
                <w:sz w:val="16"/>
                <w:szCs w:val="16"/>
              </w:rPr>
              <w:t>0.010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0.020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0.000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c>
          <w:tcPr>
            <w:tcW w:w="0" w:type="auto"/>
            <w:tcBorders>
              <w:top w:val="nil"/>
              <w:left w:val="nil"/>
              <w:bottom w:val="single" w:sz="8" w:space="0" w:color="auto"/>
              <w:right w:val="nil"/>
            </w:tcBorders>
            <w:shd w:val="clear" w:color="auto" w:fill="auto"/>
            <w:vAlign w:val="center"/>
            <w:hideMark/>
          </w:tcPr>
          <w:p w:rsidR="0098372E" w:rsidRDefault="0098372E">
            <w:pPr>
              <w:jc w:val="right"/>
              <w:rPr>
                <w:color w:val="000000"/>
                <w:sz w:val="16"/>
                <w:szCs w:val="16"/>
              </w:rPr>
            </w:pPr>
            <w:r>
              <w:rPr>
                <w:color w:val="000000"/>
                <w:sz w:val="16"/>
                <w:szCs w:val="16"/>
              </w:rPr>
              <w:t>0.010</w:t>
            </w:r>
          </w:p>
        </w:tc>
        <w:tc>
          <w:tcPr>
            <w:tcW w:w="0" w:type="auto"/>
            <w:tcBorders>
              <w:top w:val="nil"/>
              <w:left w:val="nil"/>
              <w:bottom w:val="single" w:sz="8" w:space="0" w:color="auto"/>
              <w:right w:val="nil"/>
            </w:tcBorders>
            <w:shd w:val="clear" w:color="auto" w:fill="auto"/>
            <w:vAlign w:val="center"/>
            <w:hideMark/>
          </w:tcPr>
          <w:p w:rsidR="0098372E" w:rsidRDefault="0098372E">
            <w:pPr>
              <w:rPr>
                <w:color w:val="000000"/>
                <w:sz w:val="16"/>
                <w:szCs w:val="16"/>
              </w:rPr>
            </w:pPr>
            <w:r>
              <w:rPr>
                <w:color w:val="000000"/>
                <w:sz w:val="16"/>
                <w:szCs w:val="16"/>
              </w:rPr>
              <w:t> </w:t>
            </w:r>
          </w:p>
        </w:tc>
      </w:tr>
      <w:tr w:rsidR="0098372E" w:rsidTr="00D8663F">
        <w:trPr>
          <w:trHeight w:val="315"/>
        </w:trPr>
        <w:tc>
          <w:tcPr>
            <w:tcW w:w="0" w:type="auto"/>
            <w:gridSpan w:val="6"/>
            <w:tcBorders>
              <w:top w:val="single" w:sz="8" w:space="0" w:color="auto"/>
              <w:left w:val="nil"/>
              <w:bottom w:val="nil"/>
              <w:right w:val="nil"/>
            </w:tcBorders>
            <w:shd w:val="clear" w:color="auto" w:fill="auto"/>
            <w:noWrap/>
            <w:vAlign w:val="center"/>
            <w:hideMark/>
          </w:tcPr>
          <w:p w:rsidR="0098372E" w:rsidRDefault="0098372E">
            <w:pPr>
              <w:rPr>
                <w:color w:val="000000"/>
                <w:sz w:val="16"/>
                <w:szCs w:val="16"/>
              </w:rPr>
            </w:pPr>
            <w:r>
              <w:rPr>
                <w:color w:val="000000"/>
                <w:sz w:val="16"/>
                <w:szCs w:val="16"/>
              </w:rPr>
              <w:t>t-statistics in parentheses, *** p&lt;0.01, ** p&lt;0.05, * p&lt;0.10</w:t>
            </w: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jc w:val="right"/>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98372E" w:rsidRDefault="0098372E">
            <w:pPr>
              <w:rPr>
                <w:rFonts w:ascii="Calibri" w:hAnsi="Calibri"/>
                <w:color w:val="000000"/>
                <w:sz w:val="16"/>
                <w:szCs w:val="16"/>
              </w:rPr>
            </w:pPr>
          </w:p>
        </w:tc>
      </w:tr>
    </w:tbl>
    <w:p w:rsidR="00733CAF" w:rsidRDefault="00733CAF" w:rsidP="00C21CDB">
      <w:pPr>
        <w:rPr>
          <w:szCs w:val="18"/>
        </w:rPr>
      </w:pPr>
    </w:p>
    <w:p w:rsidR="00D703A0" w:rsidRDefault="00D703A0">
      <w:pPr>
        <w:rPr>
          <w:szCs w:val="18"/>
        </w:rPr>
      </w:pPr>
      <w:r>
        <w:rPr>
          <w:szCs w:val="18"/>
        </w:rPr>
        <w:br w:type="page"/>
      </w:r>
    </w:p>
    <w:p w:rsidR="005C08C8" w:rsidRPr="00442BA5" w:rsidRDefault="005C08C8" w:rsidP="005C08C8">
      <w:pPr>
        <w:rPr>
          <w:sz w:val="12"/>
          <w:szCs w:val="12"/>
        </w:rPr>
      </w:pPr>
      <w:r>
        <w:rPr>
          <w:sz w:val="12"/>
          <w:szCs w:val="12"/>
        </w:rPr>
        <w:lastRenderedPageBreak/>
        <w:t>Table 8</w:t>
      </w:r>
      <w:r w:rsidRPr="00442BA5">
        <w:rPr>
          <w:sz w:val="12"/>
          <w:szCs w:val="12"/>
        </w:rPr>
        <w:t xml:space="preserve">  Trading Strategies based on the returns to value</w:t>
      </w:r>
      <w:r w:rsidR="00980FF5">
        <w:rPr>
          <w:sz w:val="12"/>
          <w:szCs w:val="12"/>
        </w:rPr>
        <w:t xml:space="preserve"> based on deviations from their 75-day moving averages of the </w:t>
      </w:r>
      <w:r w:rsidRPr="00442BA5">
        <w:rPr>
          <w:sz w:val="12"/>
          <w:szCs w:val="12"/>
        </w:rPr>
        <w:t>VIX, and VVIX</w:t>
      </w:r>
      <w:r w:rsidR="00980FF5">
        <w:rPr>
          <w:sz w:val="12"/>
          <w:szCs w:val="12"/>
        </w:rPr>
        <w:t xml:space="preserve"> indexes  for large-</w:t>
      </w:r>
      <w:r w:rsidRPr="00442BA5">
        <w:rPr>
          <w:sz w:val="12"/>
          <w:szCs w:val="12"/>
        </w:rPr>
        <w:t>cap ETFs.</w:t>
      </w:r>
    </w:p>
    <w:p w:rsidR="00D703A0" w:rsidRDefault="00D703A0" w:rsidP="00C21CDB">
      <w:pPr>
        <w:rPr>
          <w:szCs w:val="18"/>
        </w:rPr>
      </w:pPr>
    </w:p>
    <w:p w:rsidR="00C076A7" w:rsidRDefault="00C076A7" w:rsidP="00C21CDB">
      <w:pPr>
        <w:rPr>
          <w:szCs w:val="18"/>
        </w:rPr>
      </w:pPr>
    </w:p>
    <w:tbl>
      <w:tblPr>
        <w:tblW w:w="0" w:type="auto"/>
        <w:tblInd w:w="93" w:type="dxa"/>
        <w:tblLook w:val="04A0" w:firstRow="1" w:lastRow="0" w:firstColumn="1" w:lastColumn="0" w:noHBand="0" w:noVBand="1"/>
      </w:tblPr>
      <w:tblGrid>
        <w:gridCol w:w="701"/>
        <w:gridCol w:w="793"/>
        <w:gridCol w:w="782"/>
        <w:gridCol w:w="629"/>
        <w:gridCol w:w="488"/>
        <w:gridCol w:w="601"/>
        <w:gridCol w:w="613"/>
        <w:gridCol w:w="615"/>
        <w:gridCol w:w="567"/>
        <w:gridCol w:w="222"/>
        <w:gridCol w:w="612"/>
        <w:gridCol w:w="701"/>
        <w:gridCol w:w="782"/>
        <w:gridCol w:w="629"/>
        <w:gridCol w:w="491"/>
        <w:gridCol w:w="601"/>
        <w:gridCol w:w="613"/>
        <w:gridCol w:w="615"/>
        <w:gridCol w:w="567"/>
        <w:gridCol w:w="729"/>
        <w:gridCol w:w="732"/>
      </w:tblGrid>
      <w:tr w:rsidR="00383621" w:rsidTr="00383621">
        <w:trPr>
          <w:trHeight w:val="255"/>
        </w:trPr>
        <w:tc>
          <w:tcPr>
            <w:tcW w:w="0" w:type="auto"/>
            <w:gridSpan w:val="2"/>
            <w:tcBorders>
              <w:top w:val="nil"/>
              <w:left w:val="nil"/>
              <w:bottom w:val="nil"/>
              <w:right w:val="nil"/>
            </w:tcBorders>
            <w:shd w:val="clear" w:color="auto" w:fill="auto"/>
            <w:noWrap/>
            <w:vAlign w:val="bottom"/>
            <w:hideMark/>
          </w:tcPr>
          <w:p w:rsidR="00383621" w:rsidRDefault="00383621">
            <w:pPr>
              <w:rPr>
                <w:color w:val="000000"/>
                <w:sz w:val="12"/>
                <w:szCs w:val="12"/>
              </w:rPr>
            </w:pPr>
            <w:bookmarkStart w:id="1" w:name="RANGE!B2:V27"/>
            <w:r>
              <w:rPr>
                <w:color w:val="000000"/>
                <w:sz w:val="12"/>
                <w:szCs w:val="12"/>
              </w:rPr>
              <w:t>Panel A:  Large Caps VIX</w:t>
            </w:r>
            <w:bookmarkEnd w:id="1"/>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gridSpan w:val="3"/>
            <w:tcBorders>
              <w:top w:val="nil"/>
              <w:left w:val="nil"/>
              <w:bottom w:val="nil"/>
              <w:right w:val="nil"/>
            </w:tcBorders>
            <w:shd w:val="clear" w:color="auto" w:fill="auto"/>
            <w:noWrap/>
            <w:vAlign w:val="bottom"/>
            <w:hideMark/>
          </w:tcPr>
          <w:p w:rsidR="00383621" w:rsidRDefault="00383621">
            <w:pPr>
              <w:rPr>
                <w:color w:val="000000"/>
                <w:sz w:val="12"/>
                <w:szCs w:val="12"/>
              </w:rPr>
            </w:pPr>
            <w:r>
              <w:rPr>
                <w:color w:val="000000"/>
                <w:sz w:val="12"/>
                <w:szCs w:val="12"/>
              </w:rPr>
              <w:t>Panel B:  Large Caps with VVIX</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675"/>
        </w:trPr>
        <w:tc>
          <w:tcPr>
            <w:tcW w:w="0" w:type="auto"/>
            <w:tcBorders>
              <w:top w:val="nil"/>
              <w:left w:val="nil"/>
              <w:bottom w:val="nil"/>
              <w:right w:val="nil"/>
            </w:tcBorders>
            <w:shd w:val="clear" w:color="auto" w:fill="auto"/>
            <w:vAlign w:val="bottom"/>
            <w:hideMark/>
          </w:tcPr>
          <w:p w:rsidR="00383621" w:rsidRDefault="00383621">
            <w:pPr>
              <w:jc w:val="center"/>
              <w:rPr>
                <w:color w:val="000000"/>
                <w:sz w:val="12"/>
                <w:szCs w:val="12"/>
              </w:rPr>
            </w:pPr>
            <w:r>
              <w:rPr>
                <w:color w:val="000000"/>
                <w:sz w:val="12"/>
                <w:szCs w:val="12"/>
              </w:rPr>
              <w:t>Holding Period</w:t>
            </w:r>
          </w:p>
        </w:tc>
        <w:tc>
          <w:tcPr>
            <w:tcW w:w="0" w:type="auto"/>
            <w:tcBorders>
              <w:top w:val="nil"/>
              <w:left w:val="nil"/>
              <w:bottom w:val="nil"/>
              <w:right w:val="nil"/>
            </w:tcBorders>
            <w:shd w:val="clear" w:color="auto" w:fill="auto"/>
            <w:vAlign w:val="bottom"/>
            <w:hideMark/>
          </w:tcPr>
          <w:p w:rsidR="00383621" w:rsidRDefault="00383621">
            <w:pPr>
              <w:jc w:val="center"/>
              <w:rPr>
                <w:color w:val="000000"/>
                <w:sz w:val="12"/>
                <w:szCs w:val="12"/>
              </w:rPr>
            </w:pPr>
            <w:r>
              <w:rPr>
                <w:color w:val="000000"/>
                <w:sz w:val="12"/>
                <w:szCs w:val="12"/>
              </w:rPr>
              <w:t>Deviation of VIX from 75 day M.A.</w:t>
            </w:r>
          </w:p>
        </w:tc>
        <w:tc>
          <w:tcPr>
            <w:tcW w:w="0" w:type="auto"/>
            <w:tcBorders>
              <w:top w:val="nil"/>
              <w:left w:val="nil"/>
              <w:bottom w:val="nil"/>
              <w:right w:val="nil"/>
            </w:tcBorders>
            <w:shd w:val="clear" w:color="auto" w:fill="auto"/>
            <w:vAlign w:val="bottom"/>
            <w:hideMark/>
          </w:tcPr>
          <w:p w:rsidR="00383621" w:rsidRDefault="00383621">
            <w:pPr>
              <w:jc w:val="center"/>
              <w:rPr>
                <w:color w:val="000000"/>
                <w:sz w:val="12"/>
                <w:szCs w:val="12"/>
              </w:rPr>
            </w:pPr>
            <w:r>
              <w:rPr>
                <w:color w:val="000000"/>
                <w:sz w:val="12"/>
                <w:szCs w:val="12"/>
              </w:rPr>
              <w:t>Long/Short Cumulative Return</w:t>
            </w:r>
          </w:p>
        </w:tc>
        <w:tc>
          <w:tcPr>
            <w:tcW w:w="0" w:type="auto"/>
            <w:tcBorders>
              <w:top w:val="nil"/>
              <w:left w:val="nil"/>
              <w:bottom w:val="nil"/>
              <w:right w:val="nil"/>
            </w:tcBorders>
            <w:shd w:val="clear" w:color="auto" w:fill="auto"/>
            <w:vAlign w:val="bottom"/>
            <w:hideMark/>
          </w:tcPr>
          <w:p w:rsidR="00383621" w:rsidRDefault="00383621">
            <w:pPr>
              <w:jc w:val="center"/>
              <w:rPr>
                <w:color w:val="000000"/>
                <w:sz w:val="12"/>
                <w:szCs w:val="12"/>
              </w:rPr>
            </w:pPr>
            <w:r>
              <w:rPr>
                <w:color w:val="000000"/>
                <w:sz w:val="12"/>
                <w:szCs w:val="12"/>
              </w:rPr>
              <w:t>Daily Average Return (bps)</w:t>
            </w:r>
          </w:p>
        </w:tc>
        <w:tc>
          <w:tcPr>
            <w:tcW w:w="0" w:type="auto"/>
            <w:tcBorders>
              <w:top w:val="nil"/>
              <w:left w:val="nil"/>
              <w:bottom w:val="nil"/>
              <w:right w:val="nil"/>
            </w:tcBorders>
            <w:shd w:val="clear" w:color="auto" w:fill="auto"/>
            <w:vAlign w:val="bottom"/>
            <w:hideMark/>
          </w:tcPr>
          <w:p w:rsidR="00383621" w:rsidRDefault="00383621">
            <w:pPr>
              <w:jc w:val="right"/>
              <w:rPr>
                <w:color w:val="000000"/>
                <w:sz w:val="12"/>
                <w:szCs w:val="12"/>
              </w:rPr>
            </w:pPr>
            <w:r>
              <w:rPr>
                <w:color w:val="000000"/>
                <w:sz w:val="12"/>
                <w:szCs w:val="12"/>
              </w:rPr>
              <w:t>Daily Std. Dev. (bps)</w:t>
            </w:r>
          </w:p>
        </w:tc>
        <w:tc>
          <w:tcPr>
            <w:tcW w:w="0" w:type="auto"/>
            <w:tcBorders>
              <w:top w:val="nil"/>
              <w:left w:val="nil"/>
              <w:bottom w:val="nil"/>
              <w:right w:val="nil"/>
            </w:tcBorders>
            <w:shd w:val="clear" w:color="auto" w:fill="auto"/>
            <w:vAlign w:val="bottom"/>
            <w:hideMark/>
          </w:tcPr>
          <w:p w:rsidR="00383621" w:rsidRDefault="00383621">
            <w:pPr>
              <w:jc w:val="center"/>
              <w:rPr>
                <w:color w:val="000000"/>
                <w:sz w:val="12"/>
                <w:szCs w:val="12"/>
              </w:rPr>
            </w:pPr>
            <w:r>
              <w:rPr>
                <w:color w:val="000000"/>
                <w:sz w:val="12"/>
                <w:szCs w:val="12"/>
              </w:rPr>
              <w:t>"Sharpe Ratio"</w:t>
            </w:r>
          </w:p>
        </w:tc>
        <w:tc>
          <w:tcPr>
            <w:tcW w:w="0" w:type="auto"/>
            <w:tcBorders>
              <w:top w:val="nil"/>
              <w:left w:val="nil"/>
              <w:bottom w:val="nil"/>
              <w:right w:val="nil"/>
            </w:tcBorders>
            <w:shd w:val="clear" w:color="auto" w:fill="auto"/>
            <w:vAlign w:val="bottom"/>
            <w:hideMark/>
          </w:tcPr>
          <w:p w:rsidR="00383621" w:rsidRDefault="00383621">
            <w:pPr>
              <w:jc w:val="center"/>
              <w:rPr>
                <w:color w:val="000000"/>
                <w:sz w:val="12"/>
                <w:szCs w:val="12"/>
              </w:rPr>
            </w:pPr>
            <w:r>
              <w:rPr>
                <w:color w:val="000000"/>
                <w:sz w:val="12"/>
                <w:szCs w:val="12"/>
              </w:rPr>
              <w:t>Number of Days</w:t>
            </w:r>
          </w:p>
        </w:tc>
        <w:tc>
          <w:tcPr>
            <w:tcW w:w="0" w:type="auto"/>
            <w:tcBorders>
              <w:top w:val="nil"/>
              <w:left w:val="nil"/>
              <w:bottom w:val="nil"/>
              <w:right w:val="nil"/>
            </w:tcBorders>
            <w:shd w:val="clear" w:color="auto" w:fill="auto"/>
            <w:vAlign w:val="bottom"/>
            <w:hideMark/>
          </w:tcPr>
          <w:p w:rsidR="00383621" w:rsidRDefault="00383621">
            <w:pPr>
              <w:jc w:val="center"/>
              <w:rPr>
                <w:color w:val="000000"/>
                <w:sz w:val="12"/>
                <w:szCs w:val="12"/>
              </w:rPr>
            </w:pPr>
            <w:r>
              <w:rPr>
                <w:color w:val="000000"/>
                <w:sz w:val="12"/>
                <w:szCs w:val="12"/>
              </w:rPr>
              <w:t>Number of Round Trips</w:t>
            </w:r>
          </w:p>
        </w:tc>
        <w:tc>
          <w:tcPr>
            <w:tcW w:w="0" w:type="auto"/>
            <w:tcBorders>
              <w:top w:val="nil"/>
              <w:left w:val="nil"/>
              <w:bottom w:val="nil"/>
              <w:right w:val="nil"/>
            </w:tcBorders>
            <w:shd w:val="clear" w:color="auto" w:fill="auto"/>
            <w:vAlign w:val="bottom"/>
            <w:hideMark/>
          </w:tcPr>
          <w:p w:rsidR="00383621" w:rsidRDefault="00383621">
            <w:pPr>
              <w:jc w:val="center"/>
              <w:rPr>
                <w:color w:val="000000"/>
                <w:sz w:val="12"/>
                <w:szCs w:val="12"/>
              </w:rPr>
            </w:pPr>
            <w:r>
              <w:rPr>
                <w:color w:val="000000"/>
                <w:sz w:val="12"/>
                <w:szCs w:val="12"/>
              </w:rPr>
              <w:t>Avg. Days in Market</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vAlign w:val="bottom"/>
            <w:hideMark/>
          </w:tcPr>
          <w:p w:rsidR="00383621" w:rsidRDefault="00383621">
            <w:pPr>
              <w:jc w:val="center"/>
              <w:rPr>
                <w:color w:val="000000"/>
                <w:sz w:val="12"/>
                <w:szCs w:val="12"/>
              </w:rPr>
            </w:pPr>
            <w:r>
              <w:rPr>
                <w:color w:val="000000"/>
                <w:sz w:val="12"/>
                <w:szCs w:val="12"/>
              </w:rPr>
              <w:t>Holding Period</w:t>
            </w:r>
          </w:p>
        </w:tc>
        <w:tc>
          <w:tcPr>
            <w:tcW w:w="0" w:type="auto"/>
            <w:tcBorders>
              <w:top w:val="nil"/>
              <w:left w:val="nil"/>
              <w:bottom w:val="nil"/>
              <w:right w:val="nil"/>
            </w:tcBorders>
            <w:shd w:val="clear" w:color="auto" w:fill="auto"/>
            <w:vAlign w:val="bottom"/>
            <w:hideMark/>
          </w:tcPr>
          <w:p w:rsidR="00383621" w:rsidRDefault="00383621">
            <w:pPr>
              <w:jc w:val="center"/>
              <w:rPr>
                <w:color w:val="000000"/>
                <w:sz w:val="12"/>
                <w:szCs w:val="12"/>
              </w:rPr>
            </w:pPr>
            <w:r>
              <w:rPr>
                <w:color w:val="000000"/>
                <w:sz w:val="12"/>
                <w:szCs w:val="12"/>
              </w:rPr>
              <w:t>Deviation of VIX and VVIX from 75 day M.A.</w:t>
            </w:r>
          </w:p>
        </w:tc>
        <w:tc>
          <w:tcPr>
            <w:tcW w:w="0" w:type="auto"/>
            <w:tcBorders>
              <w:top w:val="nil"/>
              <w:left w:val="nil"/>
              <w:bottom w:val="nil"/>
              <w:right w:val="nil"/>
            </w:tcBorders>
            <w:shd w:val="clear" w:color="auto" w:fill="auto"/>
            <w:vAlign w:val="bottom"/>
            <w:hideMark/>
          </w:tcPr>
          <w:p w:rsidR="00383621" w:rsidRDefault="00383621">
            <w:pPr>
              <w:jc w:val="right"/>
              <w:rPr>
                <w:color w:val="000000"/>
                <w:sz w:val="12"/>
                <w:szCs w:val="12"/>
              </w:rPr>
            </w:pPr>
            <w:r>
              <w:rPr>
                <w:color w:val="000000"/>
                <w:sz w:val="12"/>
                <w:szCs w:val="12"/>
              </w:rPr>
              <w:t>Long/Short Cumulative Return</w:t>
            </w:r>
          </w:p>
        </w:tc>
        <w:tc>
          <w:tcPr>
            <w:tcW w:w="0" w:type="auto"/>
            <w:tcBorders>
              <w:top w:val="nil"/>
              <w:left w:val="nil"/>
              <w:bottom w:val="nil"/>
              <w:right w:val="nil"/>
            </w:tcBorders>
            <w:shd w:val="clear" w:color="auto" w:fill="auto"/>
            <w:vAlign w:val="bottom"/>
            <w:hideMark/>
          </w:tcPr>
          <w:p w:rsidR="00383621" w:rsidRDefault="00383621">
            <w:pPr>
              <w:jc w:val="right"/>
              <w:rPr>
                <w:color w:val="000000"/>
                <w:sz w:val="12"/>
                <w:szCs w:val="12"/>
              </w:rPr>
            </w:pPr>
            <w:r>
              <w:rPr>
                <w:color w:val="000000"/>
                <w:sz w:val="12"/>
                <w:szCs w:val="12"/>
              </w:rPr>
              <w:t>Daily Average Return (bps)</w:t>
            </w:r>
          </w:p>
        </w:tc>
        <w:tc>
          <w:tcPr>
            <w:tcW w:w="0" w:type="auto"/>
            <w:tcBorders>
              <w:top w:val="nil"/>
              <w:left w:val="nil"/>
              <w:bottom w:val="nil"/>
              <w:right w:val="nil"/>
            </w:tcBorders>
            <w:shd w:val="clear" w:color="auto" w:fill="auto"/>
            <w:vAlign w:val="bottom"/>
            <w:hideMark/>
          </w:tcPr>
          <w:p w:rsidR="00383621" w:rsidRDefault="00383621">
            <w:pPr>
              <w:jc w:val="right"/>
              <w:rPr>
                <w:color w:val="000000"/>
                <w:sz w:val="12"/>
                <w:szCs w:val="12"/>
              </w:rPr>
            </w:pPr>
            <w:r>
              <w:rPr>
                <w:color w:val="000000"/>
                <w:sz w:val="12"/>
                <w:szCs w:val="12"/>
              </w:rPr>
              <w:t>Daily Std. Dev. (bps)</w:t>
            </w:r>
          </w:p>
        </w:tc>
        <w:tc>
          <w:tcPr>
            <w:tcW w:w="0" w:type="auto"/>
            <w:tcBorders>
              <w:top w:val="nil"/>
              <w:left w:val="nil"/>
              <w:bottom w:val="nil"/>
              <w:right w:val="nil"/>
            </w:tcBorders>
            <w:shd w:val="clear" w:color="auto" w:fill="auto"/>
            <w:vAlign w:val="bottom"/>
            <w:hideMark/>
          </w:tcPr>
          <w:p w:rsidR="00383621" w:rsidRDefault="00383621">
            <w:pPr>
              <w:jc w:val="right"/>
              <w:rPr>
                <w:color w:val="000000"/>
                <w:sz w:val="12"/>
                <w:szCs w:val="12"/>
              </w:rPr>
            </w:pPr>
            <w:r>
              <w:rPr>
                <w:color w:val="000000"/>
                <w:sz w:val="12"/>
                <w:szCs w:val="12"/>
              </w:rPr>
              <w:t>"Sharpe Ratio"</w:t>
            </w:r>
          </w:p>
        </w:tc>
        <w:tc>
          <w:tcPr>
            <w:tcW w:w="0" w:type="auto"/>
            <w:tcBorders>
              <w:top w:val="nil"/>
              <w:left w:val="nil"/>
              <w:bottom w:val="nil"/>
              <w:right w:val="nil"/>
            </w:tcBorders>
            <w:shd w:val="clear" w:color="auto" w:fill="auto"/>
            <w:vAlign w:val="bottom"/>
            <w:hideMark/>
          </w:tcPr>
          <w:p w:rsidR="00383621" w:rsidRDefault="00383621">
            <w:pPr>
              <w:jc w:val="right"/>
              <w:rPr>
                <w:color w:val="000000"/>
                <w:sz w:val="12"/>
                <w:szCs w:val="12"/>
              </w:rPr>
            </w:pPr>
            <w:r>
              <w:rPr>
                <w:color w:val="000000"/>
                <w:sz w:val="12"/>
                <w:szCs w:val="12"/>
              </w:rPr>
              <w:t>Number of Days</w:t>
            </w:r>
          </w:p>
        </w:tc>
        <w:tc>
          <w:tcPr>
            <w:tcW w:w="0" w:type="auto"/>
            <w:tcBorders>
              <w:top w:val="nil"/>
              <w:left w:val="nil"/>
              <w:bottom w:val="nil"/>
              <w:right w:val="nil"/>
            </w:tcBorders>
            <w:shd w:val="clear" w:color="auto" w:fill="auto"/>
            <w:vAlign w:val="bottom"/>
            <w:hideMark/>
          </w:tcPr>
          <w:p w:rsidR="00383621" w:rsidRDefault="00383621">
            <w:pPr>
              <w:jc w:val="right"/>
              <w:rPr>
                <w:color w:val="000000"/>
                <w:sz w:val="12"/>
                <w:szCs w:val="12"/>
              </w:rPr>
            </w:pPr>
            <w:r>
              <w:rPr>
                <w:color w:val="000000"/>
                <w:sz w:val="12"/>
                <w:szCs w:val="12"/>
              </w:rPr>
              <w:t>Number of Round Trips</w:t>
            </w:r>
          </w:p>
        </w:tc>
        <w:tc>
          <w:tcPr>
            <w:tcW w:w="0" w:type="auto"/>
            <w:tcBorders>
              <w:top w:val="nil"/>
              <w:left w:val="nil"/>
              <w:bottom w:val="nil"/>
              <w:right w:val="nil"/>
            </w:tcBorders>
            <w:shd w:val="clear" w:color="auto" w:fill="auto"/>
            <w:vAlign w:val="bottom"/>
            <w:hideMark/>
          </w:tcPr>
          <w:p w:rsidR="00383621" w:rsidRDefault="00383621">
            <w:pPr>
              <w:jc w:val="center"/>
              <w:rPr>
                <w:color w:val="000000"/>
                <w:sz w:val="12"/>
                <w:szCs w:val="12"/>
              </w:rPr>
            </w:pPr>
            <w:r>
              <w:rPr>
                <w:color w:val="000000"/>
                <w:sz w:val="12"/>
                <w:szCs w:val="12"/>
              </w:rPr>
              <w:t>Avg. Days in Market</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r>
              <w:rPr>
                <w:color w:val="000000"/>
                <w:sz w:val="12"/>
                <w:szCs w:val="12"/>
              </w:rPr>
              <w:t>Difference</w:t>
            </w:r>
          </w:p>
        </w:tc>
        <w:tc>
          <w:tcPr>
            <w:tcW w:w="0" w:type="auto"/>
            <w:tcBorders>
              <w:top w:val="nil"/>
              <w:left w:val="nil"/>
              <w:bottom w:val="nil"/>
              <w:right w:val="nil"/>
            </w:tcBorders>
            <w:shd w:val="clear" w:color="auto" w:fill="auto"/>
            <w:vAlign w:val="bottom"/>
            <w:hideMark/>
          </w:tcPr>
          <w:p w:rsidR="00383621" w:rsidRDefault="00383621">
            <w:pPr>
              <w:rPr>
                <w:color w:val="000000"/>
                <w:sz w:val="12"/>
                <w:szCs w:val="12"/>
              </w:rPr>
            </w:pPr>
            <w:r>
              <w:rPr>
                <w:color w:val="000000"/>
                <w:sz w:val="12"/>
                <w:szCs w:val="12"/>
              </w:rPr>
              <w:t>Average Difference</w:t>
            </w: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1</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-19.84%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-1.82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1.12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-1.63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1217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707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1.72</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1</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24.69%</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6.94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20.60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0.34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318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223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1.43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44.53%</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1</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-15.14%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-3.25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1.29</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-2.55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500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318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1.57</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1</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15.25%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12.35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15.22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0.81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115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84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1.37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30.39%</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1</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-0.68%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-0.03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1.50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-0.02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236</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151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1.56</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1</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5.78%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28.14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9.18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3.07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1.11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6.46%</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1</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4.13%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1.67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1.80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138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97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1.42</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1</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2.60%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64.40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4.27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15.07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-1.53%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19.96%</w:t>
            </w: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5</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16.19%</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1.15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1.10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1310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167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7.84</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5</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8.05%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1.68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10.80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0.02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460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92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5.00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-8.14%</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5</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-11.90%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-2.04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1.15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-1.77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620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92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6.74</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5</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13.50%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6.67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9.31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0.12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190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5.00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25.40%</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5</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1.59%</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3.43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3.83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0.90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46</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6.52</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5</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1.66%</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7.29</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0.41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55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5.00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0.07%</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5</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6.85%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6.91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2.06</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3.36</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175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7.29</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5</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0.97%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6.44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3.10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2.08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5.00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-5.88%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2.86%</w:t>
            </w: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10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-5.32%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0.34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0.98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-0.35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1590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158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10.06</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10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8.71%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1.25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0.82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1.52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670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14.03%</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10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-4.11%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-0.34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0.98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-0.35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820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81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10.12</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10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21.28%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6.43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0.13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4.89</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25.39%</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10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3.90%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0.91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0.11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0.85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420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42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10.00</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10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7.76%</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8.28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1.47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5.62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90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9</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3.86%</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10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10.32%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4.46</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0.73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6.12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220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10.00</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10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0.76%</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3.80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0.98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3.87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-9.56%</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8.43%</w:t>
            </w: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30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3.90%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0.21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0.19</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1860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30.49</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30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-5.43%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-0.53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0.84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-0.63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1050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30.00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-9.33%</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30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-0.07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-0.07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1380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45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30.67</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30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0.07%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-0.01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0.01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30.00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1.07%</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30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-2.81%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-0.38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1.27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-0.30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750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30.00</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30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3.21%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1.17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1.25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0.93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270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9</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30.00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6.02%</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30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11.05%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2.69</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0.70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3.95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390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30.00</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30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1.38%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1.15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0.30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4.48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120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30.00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-9.67%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-2.98%</w:t>
            </w: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60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3.95%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8.70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0.22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1980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61.88</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60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17.57%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1.17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0.93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1500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60.00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13.62%</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60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0.08%</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0.72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0.01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1620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26</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62.31</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60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3.33%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0.42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0.57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0.74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780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60.00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3.25%</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60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-5.70%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-5.80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9.80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-0.59</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1020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60.00</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60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0.77%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0.21</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0.67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0.32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360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60.00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6.47%</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r>
      <w:tr w:rsidR="00383621" w:rsidTr="00383621">
        <w:trPr>
          <w:trHeight w:val="255"/>
        </w:trPr>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60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7.35%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1.19</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0.40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3.05</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597</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9</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66.33</w:t>
            </w:r>
          </w:p>
        </w:tc>
        <w:tc>
          <w:tcPr>
            <w:tcW w:w="0" w:type="auto"/>
            <w:tcBorders>
              <w:top w:val="nil"/>
              <w:left w:val="nil"/>
              <w:bottom w:val="nil"/>
              <w:right w:val="nil"/>
            </w:tcBorders>
            <w:shd w:val="clear" w:color="auto" w:fill="auto"/>
            <w:noWrap/>
            <w:vAlign w:val="bottom"/>
            <w:hideMark/>
          </w:tcPr>
          <w:p w:rsidR="00383621" w:rsidRDefault="00383621">
            <w:pPr>
              <w:rPr>
                <w:color w:val="000000"/>
                <w:sz w:val="12"/>
                <w:szCs w:val="12"/>
              </w:rPr>
            </w:pP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60</w:t>
            </w:r>
          </w:p>
        </w:tc>
        <w:tc>
          <w:tcPr>
            <w:tcW w:w="0" w:type="auto"/>
            <w:tcBorders>
              <w:top w:val="nil"/>
              <w:left w:val="nil"/>
              <w:bottom w:val="nil"/>
              <w:right w:val="nil"/>
            </w:tcBorders>
            <w:shd w:val="clear" w:color="auto" w:fill="auto"/>
            <w:noWrap/>
            <w:vAlign w:val="bottom"/>
            <w:hideMark/>
          </w:tcPr>
          <w:p w:rsidR="00383621" w:rsidRDefault="00383621">
            <w:pPr>
              <w:jc w:val="center"/>
              <w:rPr>
                <w:color w:val="000000"/>
                <w:sz w:val="12"/>
                <w:szCs w:val="12"/>
              </w:rPr>
            </w:pPr>
            <w:r>
              <w:rPr>
                <w:color w:val="000000"/>
                <w:sz w:val="12"/>
                <w:szCs w:val="12"/>
              </w:rPr>
              <w:t xml:space="preserve"> +/- 0.4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10.19%</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8.09</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2.20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3.63</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120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60.00</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2.84%</w:t>
            </w:r>
          </w:p>
        </w:tc>
        <w:tc>
          <w:tcPr>
            <w:tcW w:w="0" w:type="auto"/>
            <w:tcBorders>
              <w:top w:val="nil"/>
              <w:left w:val="nil"/>
              <w:bottom w:val="nil"/>
              <w:right w:val="nil"/>
            </w:tcBorders>
            <w:shd w:val="clear" w:color="auto" w:fill="auto"/>
            <w:noWrap/>
            <w:vAlign w:val="bottom"/>
            <w:hideMark/>
          </w:tcPr>
          <w:p w:rsidR="00383621" w:rsidRDefault="00383621">
            <w:pPr>
              <w:jc w:val="right"/>
              <w:rPr>
                <w:color w:val="000000"/>
                <w:sz w:val="12"/>
                <w:szCs w:val="12"/>
              </w:rPr>
            </w:pPr>
            <w:r>
              <w:rPr>
                <w:color w:val="000000"/>
                <w:sz w:val="12"/>
                <w:szCs w:val="12"/>
              </w:rPr>
              <w:t>6.55%</w:t>
            </w:r>
          </w:p>
        </w:tc>
      </w:tr>
    </w:tbl>
    <w:p w:rsidR="000F23FC" w:rsidRDefault="000F23FC">
      <w:pPr>
        <w:rPr>
          <w:szCs w:val="18"/>
        </w:rPr>
        <w:sectPr w:rsidR="000F23FC" w:rsidSect="00827466">
          <w:pgSz w:w="15840" w:h="12240" w:orient="landscape" w:code="1"/>
          <w:pgMar w:top="1440" w:right="1440" w:bottom="1440" w:left="1440" w:header="0" w:footer="720" w:gutter="0"/>
          <w:cols w:space="720"/>
          <w:docGrid w:linePitch="360"/>
        </w:sectPr>
      </w:pPr>
    </w:p>
    <w:p w:rsidR="00C076A7" w:rsidRDefault="00C076A7">
      <w:pPr>
        <w:rPr>
          <w:szCs w:val="18"/>
        </w:rPr>
      </w:pPr>
    </w:p>
    <w:p w:rsidR="00D703A0" w:rsidRPr="00C076A7" w:rsidRDefault="00C076A7" w:rsidP="00C21CDB">
      <w:pPr>
        <w:rPr>
          <w:b/>
          <w:szCs w:val="18"/>
        </w:rPr>
      </w:pPr>
      <w:r w:rsidRPr="00C076A7">
        <w:rPr>
          <w:b/>
          <w:szCs w:val="18"/>
        </w:rPr>
        <w:t>Notes</w:t>
      </w:r>
    </w:p>
    <w:sectPr w:rsidR="00D703A0" w:rsidRPr="00C076A7" w:rsidSect="000F23FC">
      <w:pgSz w:w="12240" w:h="15840" w:code="1"/>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710" w:rsidRDefault="00BD2710">
      <w:r>
        <w:separator/>
      </w:r>
    </w:p>
  </w:endnote>
  <w:endnote w:type="continuationSeparator" w:id="0">
    <w:p w:rsidR="00BD2710" w:rsidRDefault="00BD2710">
      <w:r>
        <w:continuationSeparator/>
      </w:r>
    </w:p>
  </w:endnote>
  <w:endnote w:id="1">
    <w:p w:rsidR="00F35AAA" w:rsidRDefault="00F35AAA" w:rsidP="00F35AAA">
      <w:pPr>
        <w:pStyle w:val="EndnoteText"/>
      </w:pPr>
      <w:r>
        <w:rPr>
          <w:rStyle w:val="EndnoteReference"/>
        </w:rPr>
        <w:endnoteRef/>
      </w:r>
      <w:r>
        <w:t xml:space="preserve"> Canina and Figlewski (1993) demonstrate</w:t>
      </w:r>
      <w:r w:rsidRPr="00E846BD">
        <w:t xml:space="preserve"> that implied volatility of the S&amp;P 100 Index is a poor predictor of future realized volatility.  Jiang and Tian (2005) </w:t>
      </w:r>
      <w:r>
        <w:t xml:space="preserve">examine the relation between past </w:t>
      </w:r>
      <w:r w:rsidRPr="00E846BD">
        <w:t xml:space="preserve">realized volatility </w:t>
      </w:r>
      <w:r>
        <w:t>and future realized volatility</w:t>
      </w:r>
      <w:r w:rsidRPr="00E846BD">
        <w:t xml:space="preserve"> in S&amp;P 500 Index options</w:t>
      </w:r>
      <w:r>
        <w:t>, finding it to be a more reliable indicator than implied volatility</w:t>
      </w:r>
      <w:r w:rsidRPr="00E846BD">
        <w:t xml:space="preserve">.  </w:t>
      </w:r>
      <w:r>
        <w:t xml:space="preserve">Additionally, Chan et. al. (2009), find that historical volatility is not a reliable predictor of future implied volatility for S&amp;P 500 index options.  Chng and Gannon (2003) similar results on the Sydney Futures Exchange, and Bentes (2015) finds that GARCH forecasted volatility outperforms implied volatility as a forecasting device.  </w:t>
      </w:r>
    </w:p>
    <w:p w:rsidR="00F35AAA" w:rsidRDefault="00F35AAA" w:rsidP="00F35AAA">
      <w:pPr>
        <w:pStyle w:val="EndnoteText"/>
      </w:pPr>
    </w:p>
  </w:endnote>
  <w:endnote w:id="2">
    <w:p w:rsidR="00775010" w:rsidRDefault="00775010" w:rsidP="00775010">
      <w:pPr>
        <w:pStyle w:val="FootnoteText"/>
        <w:jc w:val="both"/>
      </w:pPr>
      <w:r>
        <w:rPr>
          <w:rStyle w:val="EndnoteReference"/>
        </w:rPr>
        <w:endnoteRef/>
      </w:r>
      <w:r>
        <w:t xml:space="preserve"> Boscaljon et. al. (2011) find largely insignificant results over shorter time frames, but do observe this negative relationship for small-cap portfolios in the near term.</w:t>
      </w:r>
    </w:p>
    <w:p w:rsidR="00775010" w:rsidRDefault="00775010" w:rsidP="0077501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AA" w:rsidRDefault="00F35AAA" w:rsidP="00142FA2">
    <w:pPr>
      <w:pStyle w:val="Footer"/>
      <w:tabs>
        <w:tab w:val="center" w:pos="4680"/>
        <w:tab w:val="left" w:pos="5925"/>
      </w:tabs>
      <w:jc w:val="center"/>
    </w:pPr>
    <w:sdt>
      <w:sdtPr>
        <w:id w:val="-1388127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31E3B">
          <w:rPr>
            <w:noProof/>
          </w:rPr>
          <w:t>2</w:t>
        </w:r>
        <w:r>
          <w:rPr>
            <w:noProof/>
          </w:rPr>
          <w:fldChar w:fldCharType="end"/>
        </w:r>
      </w:sdtContent>
    </w:sdt>
  </w:p>
  <w:p w:rsidR="00F35AAA" w:rsidRDefault="00F35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AA" w:rsidRDefault="00F35AAA">
    <w:pPr>
      <w:pStyle w:val="Footer"/>
      <w:jc w:val="center"/>
    </w:pPr>
  </w:p>
  <w:p w:rsidR="00F35AAA" w:rsidRDefault="00F35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747803"/>
      <w:docPartObj>
        <w:docPartGallery w:val="Page Numbers (Bottom of Page)"/>
        <w:docPartUnique/>
      </w:docPartObj>
    </w:sdtPr>
    <w:sdtEndPr>
      <w:rPr>
        <w:noProof/>
      </w:rPr>
    </w:sdtEndPr>
    <w:sdtContent>
      <w:p w:rsidR="00F35AAA" w:rsidRDefault="00F35AAA">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rsidR="00F35AAA" w:rsidRDefault="00F35A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205025"/>
      <w:docPartObj>
        <w:docPartGallery w:val="Page Numbers (Bottom of Page)"/>
        <w:docPartUnique/>
      </w:docPartObj>
    </w:sdtPr>
    <w:sdtEndPr>
      <w:rPr>
        <w:noProof/>
      </w:rPr>
    </w:sdtEndPr>
    <w:sdtContent>
      <w:p w:rsidR="00F35AAA" w:rsidRDefault="00F35AAA">
        <w:pPr>
          <w:pStyle w:val="Footer"/>
          <w:jc w:val="center"/>
        </w:pPr>
        <w:r>
          <w:fldChar w:fldCharType="begin"/>
        </w:r>
        <w:r>
          <w:instrText xml:space="preserve"> PAGE   \* MERGEFORMAT </w:instrText>
        </w:r>
        <w:r>
          <w:fldChar w:fldCharType="separate"/>
        </w:r>
        <w:r w:rsidR="00B17D2B">
          <w:rPr>
            <w:noProof/>
          </w:rPr>
          <w:t>1</w:t>
        </w:r>
        <w:r>
          <w:rPr>
            <w:noProof/>
          </w:rPr>
          <w:fldChar w:fldCharType="end"/>
        </w:r>
      </w:p>
    </w:sdtContent>
  </w:sdt>
  <w:p w:rsidR="00F35AAA" w:rsidRDefault="00F35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710" w:rsidRDefault="00BD2710">
      <w:r>
        <w:separator/>
      </w:r>
    </w:p>
  </w:footnote>
  <w:footnote w:type="continuationSeparator" w:id="0">
    <w:p w:rsidR="00BD2710" w:rsidRDefault="00BD2710">
      <w:r>
        <w:continuationSeparator/>
      </w:r>
    </w:p>
  </w:footnote>
  <w:footnote w:id="1">
    <w:p w:rsidR="00F35AAA" w:rsidRDefault="00F35AAA" w:rsidP="00B40D79">
      <w:pPr>
        <w:pStyle w:val="FootnoteText"/>
        <w:jc w:val="both"/>
      </w:pPr>
      <w:r>
        <w:rPr>
          <w:rStyle w:val="FootnoteReference"/>
        </w:rPr>
        <w:t>*</w:t>
      </w:r>
      <w:r>
        <w:t xml:space="preserve"> Corresponding author.  Tel +1 814 898 6326.  Assistant Professor of Finance, Black School of Business, Penn State Erie – The Behrend College, 5101 Jordan Drive, Burke Center 281, Erie, PA  16563  </w:t>
      </w:r>
      <w:hyperlink r:id="rId1" w:history="1">
        <w:r w:rsidRPr="004C0A51">
          <w:rPr>
            <w:rStyle w:val="Hyperlink"/>
          </w:rPr>
          <w:t>tak25@psu.edu</w:t>
        </w:r>
      </w:hyperlink>
      <w:r>
        <w:t>.</w:t>
      </w:r>
    </w:p>
    <w:p w:rsidR="00F35AAA" w:rsidRDefault="00F35AAA" w:rsidP="00B40D79">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472F"/>
    <w:multiLevelType w:val="hybridMultilevel"/>
    <w:tmpl w:val="27F68110"/>
    <w:lvl w:ilvl="0" w:tplc="DCA2E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02A9C"/>
    <w:multiLevelType w:val="hybridMultilevel"/>
    <w:tmpl w:val="59465F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A607F"/>
    <w:multiLevelType w:val="hybridMultilevel"/>
    <w:tmpl w:val="5E3CB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4402D3"/>
    <w:multiLevelType w:val="hybridMultilevel"/>
    <w:tmpl w:val="08808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06581"/>
    <w:multiLevelType w:val="hybridMultilevel"/>
    <w:tmpl w:val="8DB857DE"/>
    <w:lvl w:ilvl="0" w:tplc="9B384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2274E"/>
    <w:multiLevelType w:val="hybridMultilevel"/>
    <w:tmpl w:val="1F961292"/>
    <w:lvl w:ilvl="0" w:tplc="AE4E5E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B6654"/>
    <w:multiLevelType w:val="hybridMultilevel"/>
    <w:tmpl w:val="7CD4490E"/>
    <w:lvl w:ilvl="0" w:tplc="1062CC84">
      <w:start w:val="1"/>
      <w:numFmt w:val="upperRoman"/>
      <w:lvlText w:val="%1."/>
      <w:lvlJc w:val="left"/>
      <w:pPr>
        <w:ind w:left="90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5C47B05"/>
    <w:multiLevelType w:val="hybridMultilevel"/>
    <w:tmpl w:val="75886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A72C7"/>
    <w:multiLevelType w:val="hybridMultilevel"/>
    <w:tmpl w:val="EE166AA6"/>
    <w:lvl w:ilvl="0" w:tplc="31BC41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214F5"/>
    <w:multiLevelType w:val="hybridMultilevel"/>
    <w:tmpl w:val="41EA0B74"/>
    <w:lvl w:ilvl="0" w:tplc="B3DC79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13176"/>
    <w:multiLevelType w:val="hybridMultilevel"/>
    <w:tmpl w:val="77964C3A"/>
    <w:lvl w:ilvl="0" w:tplc="9BD01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857CEC"/>
    <w:multiLevelType w:val="hybridMultilevel"/>
    <w:tmpl w:val="A2D66C46"/>
    <w:lvl w:ilvl="0" w:tplc="67ACC4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9B2B85"/>
    <w:multiLevelType w:val="hybridMultilevel"/>
    <w:tmpl w:val="DF7879DA"/>
    <w:lvl w:ilvl="0" w:tplc="64EC1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46768"/>
    <w:multiLevelType w:val="hybridMultilevel"/>
    <w:tmpl w:val="B4CA341E"/>
    <w:lvl w:ilvl="0" w:tplc="23B42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B10B19"/>
    <w:multiLevelType w:val="hybridMultilevel"/>
    <w:tmpl w:val="38F2E802"/>
    <w:lvl w:ilvl="0" w:tplc="7AA80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A1693"/>
    <w:multiLevelType w:val="hybridMultilevel"/>
    <w:tmpl w:val="925C70B4"/>
    <w:lvl w:ilvl="0" w:tplc="31BC41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0D6C4A"/>
    <w:multiLevelType w:val="hybridMultilevel"/>
    <w:tmpl w:val="9A6ED51C"/>
    <w:lvl w:ilvl="0" w:tplc="5C467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DE6C06"/>
    <w:multiLevelType w:val="hybridMultilevel"/>
    <w:tmpl w:val="A668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A50694"/>
    <w:multiLevelType w:val="hybridMultilevel"/>
    <w:tmpl w:val="3294A25E"/>
    <w:lvl w:ilvl="0" w:tplc="64E41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612076"/>
    <w:multiLevelType w:val="hybridMultilevel"/>
    <w:tmpl w:val="D0AC130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D336DC"/>
    <w:multiLevelType w:val="hybridMultilevel"/>
    <w:tmpl w:val="C736FE14"/>
    <w:lvl w:ilvl="0" w:tplc="A3741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73C05EC"/>
    <w:multiLevelType w:val="hybridMultilevel"/>
    <w:tmpl w:val="B03697F0"/>
    <w:lvl w:ilvl="0" w:tplc="071613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D6126D"/>
    <w:multiLevelType w:val="hybridMultilevel"/>
    <w:tmpl w:val="4B6E0E88"/>
    <w:lvl w:ilvl="0" w:tplc="31BC41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21"/>
  </w:num>
  <w:num w:numId="4">
    <w:abstractNumId w:val="11"/>
  </w:num>
  <w:num w:numId="5">
    <w:abstractNumId w:val="13"/>
  </w:num>
  <w:num w:numId="6">
    <w:abstractNumId w:val="14"/>
  </w:num>
  <w:num w:numId="7">
    <w:abstractNumId w:val="12"/>
  </w:num>
  <w:num w:numId="8">
    <w:abstractNumId w:val="6"/>
  </w:num>
  <w:num w:numId="9">
    <w:abstractNumId w:val="20"/>
  </w:num>
  <w:num w:numId="10">
    <w:abstractNumId w:val="9"/>
  </w:num>
  <w:num w:numId="11">
    <w:abstractNumId w:val="16"/>
  </w:num>
  <w:num w:numId="12">
    <w:abstractNumId w:val="5"/>
  </w:num>
  <w:num w:numId="13">
    <w:abstractNumId w:val="22"/>
  </w:num>
  <w:num w:numId="14">
    <w:abstractNumId w:val="4"/>
  </w:num>
  <w:num w:numId="15">
    <w:abstractNumId w:val="8"/>
  </w:num>
  <w:num w:numId="16">
    <w:abstractNumId w:val="15"/>
  </w:num>
  <w:num w:numId="17">
    <w:abstractNumId w:val="1"/>
  </w:num>
  <w:num w:numId="18">
    <w:abstractNumId w:val="0"/>
  </w:num>
  <w:num w:numId="19">
    <w:abstractNumId w:val="7"/>
  </w:num>
  <w:num w:numId="20">
    <w:abstractNumId w:val="19"/>
  </w:num>
  <w:num w:numId="21">
    <w:abstractNumId w:val="3"/>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62"/>
    <w:rsid w:val="000006A1"/>
    <w:rsid w:val="00000FD9"/>
    <w:rsid w:val="000017AC"/>
    <w:rsid w:val="00003B29"/>
    <w:rsid w:val="00004D8E"/>
    <w:rsid w:val="0000597C"/>
    <w:rsid w:val="000065E0"/>
    <w:rsid w:val="0000745C"/>
    <w:rsid w:val="00007717"/>
    <w:rsid w:val="00010D33"/>
    <w:rsid w:val="000110ED"/>
    <w:rsid w:val="00021ED5"/>
    <w:rsid w:val="0002400A"/>
    <w:rsid w:val="000251DB"/>
    <w:rsid w:val="000312C0"/>
    <w:rsid w:val="00031765"/>
    <w:rsid w:val="00034F46"/>
    <w:rsid w:val="00036827"/>
    <w:rsid w:val="00036C4A"/>
    <w:rsid w:val="00040DB5"/>
    <w:rsid w:val="00041D82"/>
    <w:rsid w:val="000421EA"/>
    <w:rsid w:val="000423EA"/>
    <w:rsid w:val="00043622"/>
    <w:rsid w:val="000449AD"/>
    <w:rsid w:val="0004601C"/>
    <w:rsid w:val="000474F1"/>
    <w:rsid w:val="0005011C"/>
    <w:rsid w:val="000502FD"/>
    <w:rsid w:val="00051181"/>
    <w:rsid w:val="00051367"/>
    <w:rsid w:val="0005140F"/>
    <w:rsid w:val="000530DC"/>
    <w:rsid w:val="000535CD"/>
    <w:rsid w:val="0005389C"/>
    <w:rsid w:val="00056219"/>
    <w:rsid w:val="00057731"/>
    <w:rsid w:val="00060249"/>
    <w:rsid w:val="00061557"/>
    <w:rsid w:val="00063B40"/>
    <w:rsid w:val="00066D70"/>
    <w:rsid w:val="00070F66"/>
    <w:rsid w:val="000713D1"/>
    <w:rsid w:val="000748DB"/>
    <w:rsid w:val="00075DAD"/>
    <w:rsid w:val="00077BB1"/>
    <w:rsid w:val="000806A7"/>
    <w:rsid w:val="0008236F"/>
    <w:rsid w:val="0008250C"/>
    <w:rsid w:val="00082F45"/>
    <w:rsid w:val="0008401B"/>
    <w:rsid w:val="000841CA"/>
    <w:rsid w:val="000845F7"/>
    <w:rsid w:val="000847C1"/>
    <w:rsid w:val="00085C1A"/>
    <w:rsid w:val="00086BA4"/>
    <w:rsid w:val="0008790F"/>
    <w:rsid w:val="00090F66"/>
    <w:rsid w:val="000931FC"/>
    <w:rsid w:val="00094DA3"/>
    <w:rsid w:val="0009627C"/>
    <w:rsid w:val="00096399"/>
    <w:rsid w:val="00096720"/>
    <w:rsid w:val="000972AD"/>
    <w:rsid w:val="00097C68"/>
    <w:rsid w:val="000A0A86"/>
    <w:rsid w:val="000A0EAE"/>
    <w:rsid w:val="000A0FEA"/>
    <w:rsid w:val="000A1BD6"/>
    <w:rsid w:val="000A23CD"/>
    <w:rsid w:val="000A40D1"/>
    <w:rsid w:val="000A4B98"/>
    <w:rsid w:val="000A54B2"/>
    <w:rsid w:val="000A58C3"/>
    <w:rsid w:val="000A5CB7"/>
    <w:rsid w:val="000A7DB9"/>
    <w:rsid w:val="000B089C"/>
    <w:rsid w:val="000B0D1D"/>
    <w:rsid w:val="000B11C6"/>
    <w:rsid w:val="000B1F20"/>
    <w:rsid w:val="000B23D7"/>
    <w:rsid w:val="000B3CB8"/>
    <w:rsid w:val="000B4208"/>
    <w:rsid w:val="000B5310"/>
    <w:rsid w:val="000C1899"/>
    <w:rsid w:val="000C1F81"/>
    <w:rsid w:val="000C3989"/>
    <w:rsid w:val="000C40A7"/>
    <w:rsid w:val="000C47B1"/>
    <w:rsid w:val="000C6595"/>
    <w:rsid w:val="000C7208"/>
    <w:rsid w:val="000D0700"/>
    <w:rsid w:val="000D0C2F"/>
    <w:rsid w:val="000D0E0B"/>
    <w:rsid w:val="000D3327"/>
    <w:rsid w:val="000D34EE"/>
    <w:rsid w:val="000D5868"/>
    <w:rsid w:val="000D7002"/>
    <w:rsid w:val="000D773B"/>
    <w:rsid w:val="000D7C06"/>
    <w:rsid w:val="000E0A1D"/>
    <w:rsid w:val="000E2488"/>
    <w:rsid w:val="000E63B4"/>
    <w:rsid w:val="000E6607"/>
    <w:rsid w:val="000E7867"/>
    <w:rsid w:val="000F08B2"/>
    <w:rsid w:val="000F0B9A"/>
    <w:rsid w:val="000F0D72"/>
    <w:rsid w:val="000F20F9"/>
    <w:rsid w:val="000F23FC"/>
    <w:rsid w:val="000F3A43"/>
    <w:rsid w:val="000F3A6E"/>
    <w:rsid w:val="000F514B"/>
    <w:rsid w:val="000F5EEE"/>
    <w:rsid w:val="000F6514"/>
    <w:rsid w:val="000F6993"/>
    <w:rsid w:val="000F7F25"/>
    <w:rsid w:val="001006FA"/>
    <w:rsid w:val="001018DB"/>
    <w:rsid w:val="0010320C"/>
    <w:rsid w:val="00103C23"/>
    <w:rsid w:val="001070BC"/>
    <w:rsid w:val="00107226"/>
    <w:rsid w:val="00107439"/>
    <w:rsid w:val="001103E1"/>
    <w:rsid w:val="0011055F"/>
    <w:rsid w:val="0011098D"/>
    <w:rsid w:val="00111511"/>
    <w:rsid w:val="00112355"/>
    <w:rsid w:val="001131F0"/>
    <w:rsid w:val="00114571"/>
    <w:rsid w:val="00115D36"/>
    <w:rsid w:val="00115E8D"/>
    <w:rsid w:val="0012150B"/>
    <w:rsid w:val="00121549"/>
    <w:rsid w:val="001235FF"/>
    <w:rsid w:val="001236CE"/>
    <w:rsid w:val="00124D7D"/>
    <w:rsid w:val="001251B1"/>
    <w:rsid w:val="00127705"/>
    <w:rsid w:val="001318F2"/>
    <w:rsid w:val="001323A1"/>
    <w:rsid w:val="00132CCB"/>
    <w:rsid w:val="001342AD"/>
    <w:rsid w:val="00135B0A"/>
    <w:rsid w:val="00136DA9"/>
    <w:rsid w:val="00137DD1"/>
    <w:rsid w:val="00140343"/>
    <w:rsid w:val="001412CC"/>
    <w:rsid w:val="001417FD"/>
    <w:rsid w:val="00142FA2"/>
    <w:rsid w:val="001433CC"/>
    <w:rsid w:val="00144B5E"/>
    <w:rsid w:val="00145A07"/>
    <w:rsid w:val="00153AB0"/>
    <w:rsid w:val="00156440"/>
    <w:rsid w:val="001577EE"/>
    <w:rsid w:val="001614A6"/>
    <w:rsid w:val="00161FDD"/>
    <w:rsid w:val="00162796"/>
    <w:rsid w:val="00163CA1"/>
    <w:rsid w:val="00164C94"/>
    <w:rsid w:val="00164F90"/>
    <w:rsid w:val="00165B1D"/>
    <w:rsid w:val="001714F8"/>
    <w:rsid w:val="00171739"/>
    <w:rsid w:val="00171C81"/>
    <w:rsid w:val="00171D54"/>
    <w:rsid w:val="00172053"/>
    <w:rsid w:val="0017257C"/>
    <w:rsid w:val="00172AFB"/>
    <w:rsid w:val="00173FF9"/>
    <w:rsid w:val="001742EC"/>
    <w:rsid w:val="00174A0E"/>
    <w:rsid w:val="00174D77"/>
    <w:rsid w:val="00174FCB"/>
    <w:rsid w:val="0017568E"/>
    <w:rsid w:val="00176310"/>
    <w:rsid w:val="0017678E"/>
    <w:rsid w:val="00177288"/>
    <w:rsid w:val="001776DD"/>
    <w:rsid w:val="001816E0"/>
    <w:rsid w:val="00181C02"/>
    <w:rsid w:val="0018308E"/>
    <w:rsid w:val="00183C3B"/>
    <w:rsid w:val="001868FB"/>
    <w:rsid w:val="00187199"/>
    <w:rsid w:val="00187539"/>
    <w:rsid w:val="0019202E"/>
    <w:rsid w:val="00192EE9"/>
    <w:rsid w:val="001930B0"/>
    <w:rsid w:val="00193DD8"/>
    <w:rsid w:val="0019514A"/>
    <w:rsid w:val="001A1728"/>
    <w:rsid w:val="001A4BCB"/>
    <w:rsid w:val="001A55FD"/>
    <w:rsid w:val="001A5723"/>
    <w:rsid w:val="001A64DD"/>
    <w:rsid w:val="001A6F4B"/>
    <w:rsid w:val="001B0306"/>
    <w:rsid w:val="001B0525"/>
    <w:rsid w:val="001B1F16"/>
    <w:rsid w:val="001B1FF8"/>
    <w:rsid w:val="001B2003"/>
    <w:rsid w:val="001B25F9"/>
    <w:rsid w:val="001B30E4"/>
    <w:rsid w:val="001B3556"/>
    <w:rsid w:val="001B36F7"/>
    <w:rsid w:val="001B4CCF"/>
    <w:rsid w:val="001B500E"/>
    <w:rsid w:val="001B7483"/>
    <w:rsid w:val="001C0595"/>
    <w:rsid w:val="001C26DC"/>
    <w:rsid w:val="001C363A"/>
    <w:rsid w:val="001C3F68"/>
    <w:rsid w:val="001C453A"/>
    <w:rsid w:val="001C7BF2"/>
    <w:rsid w:val="001C7EDD"/>
    <w:rsid w:val="001D0D17"/>
    <w:rsid w:val="001D17E3"/>
    <w:rsid w:val="001D1C62"/>
    <w:rsid w:val="001D2887"/>
    <w:rsid w:val="001D3EDC"/>
    <w:rsid w:val="001D4010"/>
    <w:rsid w:val="001D4261"/>
    <w:rsid w:val="001D4877"/>
    <w:rsid w:val="001D4B34"/>
    <w:rsid w:val="001D4BB9"/>
    <w:rsid w:val="001D52F6"/>
    <w:rsid w:val="001D6AC4"/>
    <w:rsid w:val="001D7A5C"/>
    <w:rsid w:val="001D7B3D"/>
    <w:rsid w:val="001E034B"/>
    <w:rsid w:val="001E2E3C"/>
    <w:rsid w:val="001E3513"/>
    <w:rsid w:val="001E45DB"/>
    <w:rsid w:val="001E6494"/>
    <w:rsid w:val="001E7F88"/>
    <w:rsid w:val="001F106A"/>
    <w:rsid w:val="001F1785"/>
    <w:rsid w:val="001F18DB"/>
    <w:rsid w:val="001F1C29"/>
    <w:rsid w:val="001F308E"/>
    <w:rsid w:val="001F34E9"/>
    <w:rsid w:val="001F3762"/>
    <w:rsid w:val="001F3B7E"/>
    <w:rsid w:val="001F4049"/>
    <w:rsid w:val="001F4CB3"/>
    <w:rsid w:val="001F53B7"/>
    <w:rsid w:val="001F57B1"/>
    <w:rsid w:val="001F57EC"/>
    <w:rsid w:val="001F6D2F"/>
    <w:rsid w:val="002002B3"/>
    <w:rsid w:val="00200B74"/>
    <w:rsid w:val="00201BE5"/>
    <w:rsid w:val="00202D72"/>
    <w:rsid w:val="00202F2B"/>
    <w:rsid w:val="0020393E"/>
    <w:rsid w:val="0020408A"/>
    <w:rsid w:val="00206156"/>
    <w:rsid w:val="002062BD"/>
    <w:rsid w:val="0020665D"/>
    <w:rsid w:val="002108F0"/>
    <w:rsid w:val="00211E2B"/>
    <w:rsid w:val="002139FF"/>
    <w:rsid w:val="002142CE"/>
    <w:rsid w:val="002168A0"/>
    <w:rsid w:val="00222310"/>
    <w:rsid w:val="002246BE"/>
    <w:rsid w:val="00224AA5"/>
    <w:rsid w:val="00224FC8"/>
    <w:rsid w:val="002263FA"/>
    <w:rsid w:val="00226D99"/>
    <w:rsid w:val="00230132"/>
    <w:rsid w:val="002303A5"/>
    <w:rsid w:val="002311B7"/>
    <w:rsid w:val="00231BA0"/>
    <w:rsid w:val="00231E3B"/>
    <w:rsid w:val="002324C0"/>
    <w:rsid w:val="00232F69"/>
    <w:rsid w:val="002337DE"/>
    <w:rsid w:val="00233D8D"/>
    <w:rsid w:val="002353C0"/>
    <w:rsid w:val="0023764A"/>
    <w:rsid w:val="00237C5E"/>
    <w:rsid w:val="00240DA5"/>
    <w:rsid w:val="00243F86"/>
    <w:rsid w:val="00244110"/>
    <w:rsid w:val="002442EF"/>
    <w:rsid w:val="002446E2"/>
    <w:rsid w:val="00244FBF"/>
    <w:rsid w:val="002450D2"/>
    <w:rsid w:val="002457EB"/>
    <w:rsid w:val="00245CB0"/>
    <w:rsid w:val="002461CB"/>
    <w:rsid w:val="0024753A"/>
    <w:rsid w:val="00247C25"/>
    <w:rsid w:val="00250A10"/>
    <w:rsid w:val="0025136E"/>
    <w:rsid w:val="002517C4"/>
    <w:rsid w:val="002532A5"/>
    <w:rsid w:val="0025527A"/>
    <w:rsid w:val="00257C70"/>
    <w:rsid w:val="00261F12"/>
    <w:rsid w:val="00263CAB"/>
    <w:rsid w:val="00265204"/>
    <w:rsid w:val="00265353"/>
    <w:rsid w:val="00265B62"/>
    <w:rsid w:val="00267EED"/>
    <w:rsid w:val="00267FA5"/>
    <w:rsid w:val="0027133D"/>
    <w:rsid w:val="0027282E"/>
    <w:rsid w:val="00272CC5"/>
    <w:rsid w:val="00272E72"/>
    <w:rsid w:val="00274CF1"/>
    <w:rsid w:val="0027647D"/>
    <w:rsid w:val="00280E13"/>
    <w:rsid w:val="0028377B"/>
    <w:rsid w:val="00284DFF"/>
    <w:rsid w:val="00286E42"/>
    <w:rsid w:val="00287E03"/>
    <w:rsid w:val="00290B5B"/>
    <w:rsid w:val="00294C3C"/>
    <w:rsid w:val="00294D1A"/>
    <w:rsid w:val="00295226"/>
    <w:rsid w:val="0029648E"/>
    <w:rsid w:val="00297880"/>
    <w:rsid w:val="002A0755"/>
    <w:rsid w:val="002A1472"/>
    <w:rsid w:val="002A168D"/>
    <w:rsid w:val="002A1F39"/>
    <w:rsid w:val="002A245C"/>
    <w:rsid w:val="002A277A"/>
    <w:rsid w:val="002A28AE"/>
    <w:rsid w:val="002A325D"/>
    <w:rsid w:val="002A33AD"/>
    <w:rsid w:val="002A4A15"/>
    <w:rsid w:val="002A5DE1"/>
    <w:rsid w:val="002A6898"/>
    <w:rsid w:val="002B22F1"/>
    <w:rsid w:val="002B244A"/>
    <w:rsid w:val="002B3B25"/>
    <w:rsid w:val="002B3DAD"/>
    <w:rsid w:val="002B3DBC"/>
    <w:rsid w:val="002B49EA"/>
    <w:rsid w:val="002B6EF0"/>
    <w:rsid w:val="002B752D"/>
    <w:rsid w:val="002B78E8"/>
    <w:rsid w:val="002B7AB6"/>
    <w:rsid w:val="002C0EC1"/>
    <w:rsid w:val="002C14F5"/>
    <w:rsid w:val="002C196F"/>
    <w:rsid w:val="002C3765"/>
    <w:rsid w:val="002C42BB"/>
    <w:rsid w:val="002C5D90"/>
    <w:rsid w:val="002C67C5"/>
    <w:rsid w:val="002C7C77"/>
    <w:rsid w:val="002D0D39"/>
    <w:rsid w:val="002D13E8"/>
    <w:rsid w:val="002D65D1"/>
    <w:rsid w:val="002E2A55"/>
    <w:rsid w:val="002E484E"/>
    <w:rsid w:val="002E4A8A"/>
    <w:rsid w:val="002E5716"/>
    <w:rsid w:val="002E5EC0"/>
    <w:rsid w:val="002E7914"/>
    <w:rsid w:val="002F2EC8"/>
    <w:rsid w:val="002F49D3"/>
    <w:rsid w:val="002F70DA"/>
    <w:rsid w:val="002F71B6"/>
    <w:rsid w:val="00300641"/>
    <w:rsid w:val="003007BE"/>
    <w:rsid w:val="00301808"/>
    <w:rsid w:val="0030276E"/>
    <w:rsid w:val="003057D3"/>
    <w:rsid w:val="00306245"/>
    <w:rsid w:val="00306823"/>
    <w:rsid w:val="00306850"/>
    <w:rsid w:val="003072E3"/>
    <w:rsid w:val="00307F97"/>
    <w:rsid w:val="003106B5"/>
    <w:rsid w:val="003131BD"/>
    <w:rsid w:val="00314A6E"/>
    <w:rsid w:val="00315223"/>
    <w:rsid w:val="003163F6"/>
    <w:rsid w:val="00320762"/>
    <w:rsid w:val="003217BB"/>
    <w:rsid w:val="003218C7"/>
    <w:rsid w:val="00322CC1"/>
    <w:rsid w:val="00326F14"/>
    <w:rsid w:val="003324FC"/>
    <w:rsid w:val="00332A37"/>
    <w:rsid w:val="003332FB"/>
    <w:rsid w:val="003336D3"/>
    <w:rsid w:val="00334717"/>
    <w:rsid w:val="0033583A"/>
    <w:rsid w:val="00335A79"/>
    <w:rsid w:val="003363EE"/>
    <w:rsid w:val="003371A6"/>
    <w:rsid w:val="00340B21"/>
    <w:rsid w:val="00341607"/>
    <w:rsid w:val="00341664"/>
    <w:rsid w:val="00341E36"/>
    <w:rsid w:val="00342FDB"/>
    <w:rsid w:val="003446AE"/>
    <w:rsid w:val="00345D00"/>
    <w:rsid w:val="003468E1"/>
    <w:rsid w:val="00346A06"/>
    <w:rsid w:val="003478CD"/>
    <w:rsid w:val="003532A3"/>
    <w:rsid w:val="00353E30"/>
    <w:rsid w:val="003540F0"/>
    <w:rsid w:val="00354A60"/>
    <w:rsid w:val="00356D2C"/>
    <w:rsid w:val="003632A0"/>
    <w:rsid w:val="00364A17"/>
    <w:rsid w:val="00365752"/>
    <w:rsid w:val="003670D3"/>
    <w:rsid w:val="00367587"/>
    <w:rsid w:val="00367D69"/>
    <w:rsid w:val="003707C9"/>
    <w:rsid w:val="00374A7C"/>
    <w:rsid w:val="00375778"/>
    <w:rsid w:val="003769E0"/>
    <w:rsid w:val="00376CF1"/>
    <w:rsid w:val="00377BC2"/>
    <w:rsid w:val="00377C4E"/>
    <w:rsid w:val="00377EA8"/>
    <w:rsid w:val="0038001C"/>
    <w:rsid w:val="0038098E"/>
    <w:rsid w:val="003822E2"/>
    <w:rsid w:val="00383621"/>
    <w:rsid w:val="0038416C"/>
    <w:rsid w:val="00384D30"/>
    <w:rsid w:val="003850D2"/>
    <w:rsid w:val="003858FD"/>
    <w:rsid w:val="003875C3"/>
    <w:rsid w:val="003876A4"/>
    <w:rsid w:val="00387BBA"/>
    <w:rsid w:val="00387D57"/>
    <w:rsid w:val="0039020C"/>
    <w:rsid w:val="0039316C"/>
    <w:rsid w:val="003932E7"/>
    <w:rsid w:val="00396093"/>
    <w:rsid w:val="0039717D"/>
    <w:rsid w:val="003A0681"/>
    <w:rsid w:val="003A0C7F"/>
    <w:rsid w:val="003A2928"/>
    <w:rsid w:val="003A2F90"/>
    <w:rsid w:val="003A3376"/>
    <w:rsid w:val="003A3DB3"/>
    <w:rsid w:val="003A4C05"/>
    <w:rsid w:val="003A4E7D"/>
    <w:rsid w:val="003A5DE0"/>
    <w:rsid w:val="003A66BB"/>
    <w:rsid w:val="003A6800"/>
    <w:rsid w:val="003A6BE1"/>
    <w:rsid w:val="003A78B4"/>
    <w:rsid w:val="003B0DA0"/>
    <w:rsid w:val="003B3EA3"/>
    <w:rsid w:val="003B4C9F"/>
    <w:rsid w:val="003B7F5E"/>
    <w:rsid w:val="003C0401"/>
    <w:rsid w:val="003C1D50"/>
    <w:rsid w:val="003C28E7"/>
    <w:rsid w:val="003C3299"/>
    <w:rsid w:val="003C3632"/>
    <w:rsid w:val="003C366F"/>
    <w:rsid w:val="003C3D9C"/>
    <w:rsid w:val="003C46FB"/>
    <w:rsid w:val="003C4A46"/>
    <w:rsid w:val="003C4C73"/>
    <w:rsid w:val="003C71EB"/>
    <w:rsid w:val="003D02E3"/>
    <w:rsid w:val="003D02F1"/>
    <w:rsid w:val="003D0CFB"/>
    <w:rsid w:val="003D38C4"/>
    <w:rsid w:val="003D5B06"/>
    <w:rsid w:val="003D5BCC"/>
    <w:rsid w:val="003D5D5E"/>
    <w:rsid w:val="003D755C"/>
    <w:rsid w:val="003D7889"/>
    <w:rsid w:val="003E281E"/>
    <w:rsid w:val="003E41D7"/>
    <w:rsid w:val="003E5A92"/>
    <w:rsid w:val="003E6CEE"/>
    <w:rsid w:val="003E7217"/>
    <w:rsid w:val="003F005E"/>
    <w:rsid w:val="003F2AAF"/>
    <w:rsid w:val="003F2DE5"/>
    <w:rsid w:val="003F4973"/>
    <w:rsid w:val="00400B5C"/>
    <w:rsid w:val="004017A0"/>
    <w:rsid w:val="00403052"/>
    <w:rsid w:val="00403AB3"/>
    <w:rsid w:val="004052C5"/>
    <w:rsid w:val="004053BB"/>
    <w:rsid w:val="0041096D"/>
    <w:rsid w:val="004114C5"/>
    <w:rsid w:val="00411D8F"/>
    <w:rsid w:val="00413517"/>
    <w:rsid w:val="00414D51"/>
    <w:rsid w:val="0041504B"/>
    <w:rsid w:val="00415170"/>
    <w:rsid w:val="004156B6"/>
    <w:rsid w:val="004173F8"/>
    <w:rsid w:val="0042126A"/>
    <w:rsid w:val="00422B4B"/>
    <w:rsid w:val="0042359E"/>
    <w:rsid w:val="00423EE6"/>
    <w:rsid w:val="00425517"/>
    <w:rsid w:val="00425834"/>
    <w:rsid w:val="00426A5C"/>
    <w:rsid w:val="00427058"/>
    <w:rsid w:val="00427F7E"/>
    <w:rsid w:val="0043090D"/>
    <w:rsid w:val="00431130"/>
    <w:rsid w:val="004338F0"/>
    <w:rsid w:val="00435E15"/>
    <w:rsid w:val="004363D9"/>
    <w:rsid w:val="00436D71"/>
    <w:rsid w:val="00442129"/>
    <w:rsid w:val="004422F9"/>
    <w:rsid w:val="0044262F"/>
    <w:rsid w:val="004427EA"/>
    <w:rsid w:val="00442BA5"/>
    <w:rsid w:val="00442E15"/>
    <w:rsid w:val="004438C3"/>
    <w:rsid w:val="004439B2"/>
    <w:rsid w:val="004446C7"/>
    <w:rsid w:val="0044500B"/>
    <w:rsid w:val="00446AB8"/>
    <w:rsid w:val="004475DC"/>
    <w:rsid w:val="0045043C"/>
    <w:rsid w:val="00450E1B"/>
    <w:rsid w:val="00452108"/>
    <w:rsid w:val="00455072"/>
    <w:rsid w:val="0045795C"/>
    <w:rsid w:val="00460860"/>
    <w:rsid w:val="004613DE"/>
    <w:rsid w:val="004616BD"/>
    <w:rsid w:val="004628E8"/>
    <w:rsid w:val="00462F0D"/>
    <w:rsid w:val="0046355F"/>
    <w:rsid w:val="004638FC"/>
    <w:rsid w:val="00463BF5"/>
    <w:rsid w:val="00463C37"/>
    <w:rsid w:val="004653E8"/>
    <w:rsid w:val="004657CD"/>
    <w:rsid w:val="00465AFA"/>
    <w:rsid w:val="00465BC9"/>
    <w:rsid w:val="0046693A"/>
    <w:rsid w:val="00471623"/>
    <w:rsid w:val="00472026"/>
    <w:rsid w:val="00472C7A"/>
    <w:rsid w:val="00474F14"/>
    <w:rsid w:val="00483C5E"/>
    <w:rsid w:val="0048517C"/>
    <w:rsid w:val="00485267"/>
    <w:rsid w:val="00485454"/>
    <w:rsid w:val="0048641C"/>
    <w:rsid w:val="0048741F"/>
    <w:rsid w:val="00494759"/>
    <w:rsid w:val="004960C4"/>
    <w:rsid w:val="00497FF5"/>
    <w:rsid w:val="004A2411"/>
    <w:rsid w:val="004A3100"/>
    <w:rsid w:val="004A3A01"/>
    <w:rsid w:val="004A476D"/>
    <w:rsid w:val="004B08F1"/>
    <w:rsid w:val="004B23EB"/>
    <w:rsid w:val="004B6D01"/>
    <w:rsid w:val="004B7ADA"/>
    <w:rsid w:val="004C0E3A"/>
    <w:rsid w:val="004C1525"/>
    <w:rsid w:val="004C3646"/>
    <w:rsid w:val="004C654E"/>
    <w:rsid w:val="004D0290"/>
    <w:rsid w:val="004D0477"/>
    <w:rsid w:val="004D10B1"/>
    <w:rsid w:val="004D266B"/>
    <w:rsid w:val="004D5AC4"/>
    <w:rsid w:val="004D6CC5"/>
    <w:rsid w:val="004D7475"/>
    <w:rsid w:val="004E0E55"/>
    <w:rsid w:val="004E137F"/>
    <w:rsid w:val="004E25FA"/>
    <w:rsid w:val="004E28B2"/>
    <w:rsid w:val="004E435D"/>
    <w:rsid w:val="004E55F9"/>
    <w:rsid w:val="004E7429"/>
    <w:rsid w:val="004E79F5"/>
    <w:rsid w:val="004F0FF7"/>
    <w:rsid w:val="004F2661"/>
    <w:rsid w:val="004F34AB"/>
    <w:rsid w:val="004F417C"/>
    <w:rsid w:val="005012DB"/>
    <w:rsid w:val="00502A38"/>
    <w:rsid w:val="00503BD8"/>
    <w:rsid w:val="0050579C"/>
    <w:rsid w:val="00507442"/>
    <w:rsid w:val="00507715"/>
    <w:rsid w:val="00510B51"/>
    <w:rsid w:val="0051104F"/>
    <w:rsid w:val="00511EEF"/>
    <w:rsid w:val="0051316F"/>
    <w:rsid w:val="00513711"/>
    <w:rsid w:val="0051536C"/>
    <w:rsid w:val="00516036"/>
    <w:rsid w:val="005167FD"/>
    <w:rsid w:val="005175FF"/>
    <w:rsid w:val="005240AD"/>
    <w:rsid w:val="00524269"/>
    <w:rsid w:val="00525B77"/>
    <w:rsid w:val="00525CCC"/>
    <w:rsid w:val="005262AA"/>
    <w:rsid w:val="00527E0F"/>
    <w:rsid w:val="0053137E"/>
    <w:rsid w:val="00534447"/>
    <w:rsid w:val="0053496E"/>
    <w:rsid w:val="00540785"/>
    <w:rsid w:val="0054192D"/>
    <w:rsid w:val="005430AB"/>
    <w:rsid w:val="00543741"/>
    <w:rsid w:val="00544B63"/>
    <w:rsid w:val="005455F8"/>
    <w:rsid w:val="00545C2D"/>
    <w:rsid w:val="00545D14"/>
    <w:rsid w:val="0054614C"/>
    <w:rsid w:val="005467B4"/>
    <w:rsid w:val="00547C5F"/>
    <w:rsid w:val="00550DCD"/>
    <w:rsid w:val="00552D3F"/>
    <w:rsid w:val="00553F54"/>
    <w:rsid w:val="00554A1A"/>
    <w:rsid w:val="005551C6"/>
    <w:rsid w:val="005557FA"/>
    <w:rsid w:val="00555D1E"/>
    <w:rsid w:val="00561413"/>
    <w:rsid w:val="0056709B"/>
    <w:rsid w:val="005672AE"/>
    <w:rsid w:val="0056775E"/>
    <w:rsid w:val="005701E9"/>
    <w:rsid w:val="00570629"/>
    <w:rsid w:val="005717A0"/>
    <w:rsid w:val="00572EDB"/>
    <w:rsid w:val="00576AB4"/>
    <w:rsid w:val="00577534"/>
    <w:rsid w:val="00580472"/>
    <w:rsid w:val="00581D6C"/>
    <w:rsid w:val="00587333"/>
    <w:rsid w:val="0058759B"/>
    <w:rsid w:val="00587C9C"/>
    <w:rsid w:val="0059027A"/>
    <w:rsid w:val="0059065F"/>
    <w:rsid w:val="00592769"/>
    <w:rsid w:val="00593C74"/>
    <w:rsid w:val="00594C33"/>
    <w:rsid w:val="00596BA8"/>
    <w:rsid w:val="0059767E"/>
    <w:rsid w:val="005A39F6"/>
    <w:rsid w:val="005A3E3C"/>
    <w:rsid w:val="005A4352"/>
    <w:rsid w:val="005A568B"/>
    <w:rsid w:val="005A5A65"/>
    <w:rsid w:val="005A5BA2"/>
    <w:rsid w:val="005A7426"/>
    <w:rsid w:val="005A76FD"/>
    <w:rsid w:val="005B1FA2"/>
    <w:rsid w:val="005B2731"/>
    <w:rsid w:val="005B336E"/>
    <w:rsid w:val="005B337B"/>
    <w:rsid w:val="005B39A5"/>
    <w:rsid w:val="005B4AA0"/>
    <w:rsid w:val="005B4D16"/>
    <w:rsid w:val="005B7358"/>
    <w:rsid w:val="005C0636"/>
    <w:rsid w:val="005C08C8"/>
    <w:rsid w:val="005C2052"/>
    <w:rsid w:val="005C2181"/>
    <w:rsid w:val="005C2DE9"/>
    <w:rsid w:val="005C3AD0"/>
    <w:rsid w:val="005C3C56"/>
    <w:rsid w:val="005C445E"/>
    <w:rsid w:val="005C4626"/>
    <w:rsid w:val="005C5043"/>
    <w:rsid w:val="005C5604"/>
    <w:rsid w:val="005C56AB"/>
    <w:rsid w:val="005C5824"/>
    <w:rsid w:val="005C6F1E"/>
    <w:rsid w:val="005C75AE"/>
    <w:rsid w:val="005C7A66"/>
    <w:rsid w:val="005D01F1"/>
    <w:rsid w:val="005D4B37"/>
    <w:rsid w:val="005D7D11"/>
    <w:rsid w:val="005E0772"/>
    <w:rsid w:val="005E3312"/>
    <w:rsid w:val="005E33BB"/>
    <w:rsid w:val="005E6004"/>
    <w:rsid w:val="005E660D"/>
    <w:rsid w:val="005F11A9"/>
    <w:rsid w:val="005F26DC"/>
    <w:rsid w:val="005F43DA"/>
    <w:rsid w:val="005F4F9D"/>
    <w:rsid w:val="005F5C74"/>
    <w:rsid w:val="005F5E50"/>
    <w:rsid w:val="005F6BBB"/>
    <w:rsid w:val="005F6E3C"/>
    <w:rsid w:val="005F7855"/>
    <w:rsid w:val="005F7CDA"/>
    <w:rsid w:val="00601C9A"/>
    <w:rsid w:val="00602E12"/>
    <w:rsid w:val="00604877"/>
    <w:rsid w:val="00605478"/>
    <w:rsid w:val="00605513"/>
    <w:rsid w:val="00605591"/>
    <w:rsid w:val="0060570D"/>
    <w:rsid w:val="006078C7"/>
    <w:rsid w:val="00607E30"/>
    <w:rsid w:val="00610BEB"/>
    <w:rsid w:val="0061130D"/>
    <w:rsid w:val="006142DA"/>
    <w:rsid w:val="006162FA"/>
    <w:rsid w:val="00616F00"/>
    <w:rsid w:val="00621677"/>
    <w:rsid w:val="0062206A"/>
    <w:rsid w:val="00622BE5"/>
    <w:rsid w:val="006305B0"/>
    <w:rsid w:val="00631F67"/>
    <w:rsid w:val="00632898"/>
    <w:rsid w:val="00632D9A"/>
    <w:rsid w:val="00633C94"/>
    <w:rsid w:val="00635770"/>
    <w:rsid w:val="00642A91"/>
    <w:rsid w:val="0064504E"/>
    <w:rsid w:val="00647F2F"/>
    <w:rsid w:val="00650346"/>
    <w:rsid w:val="00652A05"/>
    <w:rsid w:val="006548C4"/>
    <w:rsid w:val="0066043A"/>
    <w:rsid w:val="00661BAF"/>
    <w:rsid w:val="00662572"/>
    <w:rsid w:val="00663229"/>
    <w:rsid w:val="00663F13"/>
    <w:rsid w:val="00665022"/>
    <w:rsid w:val="00666116"/>
    <w:rsid w:val="006663C2"/>
    <w:rsid w:val="00670161"/>
    <w:rsid w:val="00670435"/>
    <w:rsid w:val="006706C6"/>
    <w:rsid w:val="00680072"/>
    <w:rsid w:val="00680307"/>
    <w:rsid w:val="006804CB"/>
    <w:rsid w:val="00682EE2"/>
    <w:rsid w:val="006846F9"/>
    <w:rsid w:val="006903BB"/>
    <w:rsid w:val="006905FC"/>
    <w:rsid w:val="00690FA2"/>
    <w:rsid w:val="006911F6"/>
    <w:rsid w:val="00691597"/>
    <w:rsid w:val="00691696"/>
    <w:rsid w:val="00692844"/>
    <w:rsid w:val="0069300C"/>
    <w:rsid w:val="00693A9B"/>
    <w:rsid w:val="00694DFD"/>
    <w:rsid w:val="006958AD"/>
    <w:rsid w:val="006960F7"/>
    <w:rsid w:val="00696899"/>
    <w:rsid w:val="00696C6B"/>
    <w:rsid w:val="006A03B4"/>
    <w:rsid w:val="006A0A6E"/>
    <w:rsid w:val="006A0B35"/>
    <w:rsid w:val="006A101A"/>
    <w:rsid w:val="006A2387"/>
    <w:rsid w:val="006A317D"/>
    <w:rsid w:val="006A3496"/>
    <w:rsid w:val="006B0099"/>
    <w:rsid w:val="006B066E"/>
    <w:rsid w:val="006B07AF"/>
    <w:rsid w:val="006B0CE2"/>
    <w:rsid w:val="006B157A"/>
    <w:rsid w:val="006B1CB6"/>
    <w:rsid w:val="006B4943"/>
    <w:rsid w:val="006B4DDB"/>
    <w:rsid w:val="006C09AF"/>
    <w:rsid w:val="006C1B21"/>
    <w:rsid w:val="006C2DD8"/>
    <w:rsid w:val="006C3DA0"/>
    <w:rsid w:val="006C430A"/>
    <w:rsid w:val="006C4EA9"/>
    <w:rsid w:val="006C5B8D"/>
    <w:rsid w:val="006C5C6B"/>
    <w:rsid w:val="006C6717"/>
    <w:rsid w:val="006C7E82"/>
    <w:rsid w:val="006D07B2"/>
    <w:rsid w:val="006D101F"/>
    <w:rsid w:val="006D21E4"/>
    <w:rsid w:val="006D25CF"/>
    <w:rsid w:val="006D3961"/>
    <w:rsid w:val="006D4600"/>
    <w:rsid w:val="006D5603"/>
    <w:rsid w:val="006E15F9"/>
    <w:rsid w:val="006E1900"/>
    <w:rsid w:val="006E1935"/>
    <w:rsid w:val="006E2BE8"/>
    <w:rsid w:val="006E2F68"/>
    <w:rsid w:val="006E324C"/>
    <w:rsid w:val="006E3A34"/>
    <w:rsid w:val="006E3CCA"/>
    <w:rsid w:val="006E50BF"/>
    <w:rsid w:val="006E5594"/>
    <w:rsid w:val="006E5E20"/>
    <w:rsid w:val="006E68DC"/>
    <w:rsid w:val="006E76EA"/>
    <w:rsid w:val="006F22C9"/>
    <w:rsid w:val="006F5D23"/>
    <w:rsid w:val="007000E9"/>
    <w:rsid w:val="00701690"/>
    <w:rsid w:val="0070302D"/>
    <w:rsid w:val="0070366A"/>
    <w:rsid w:val="00703FFD"/>
    <w:rsid w:val="007042BE"/>
    <w:rsid w:val="007043E0"/>
    <w:rsid w:val="00707554"/>
    <w:rsid w:val="0071096A"/>
    <w:rsid w:val="00711211"/>
    <w:rsid w:val="00711B02"/>
    <w:rsid w:val="007159D1"/>
    <w:rsid w:val="00716536"/>
    <w:rsid w:val="00716787"/>
    <w:rsid w:val="00717BF4"/>
    <w:rsid w:val="00717CE9"/>
    <w:rsid w:val="00717DCE"/>
    <w:rsid w:val="00720C9A"/>
    <w:rsid w:val="0072124F"/>
    <w:rsid w:val="00721A18"/>
    <w:rsid w:val="00721A33"/>
    <w:rsid w:val="00722066"/>
    <w:rsid w:val="00722277"/>
    <w:rsid w:val="007224BB"/>
    <w:rsid w:val="00724273"/>
    <w:rsid w:val="00725182"/>
    <w:rsid w:val="007262A7"/>
    <w:rsid w:val="00727574"/>
    <w:rsid w:val="00731735"/>
    <w:rsid w:val="007317AA"/>
    <w:rsid w:val="00731F62"/>
    <w:rsid w:val="00733CAF"/>
    <w:rsid w:val="00734B53"/>
    <w:rsid w:val="0073506D"/>
    <w:rsid w:val="00736032"/>
    <w:rsid w:val="0073738B"/>
    <w:rsid w:val="00741669"/>
    <w:rsid w:val="0074303C"/>
    <w:rsid w:val="0074571C"/>
    <w:rsid w:val="00747583"/>
    <w:rsid w:val="00747C22"/>
    <w:rsid w:val="00750035"/>
    <w:rsid w:val="00751218"/>
    <w:rsid w:val="007515E6"/>
    <w:rsid w:val="0075295F"/>
    <w:rsid w:val="00753314"/>
    <w:rsid w:val="0075383E"/>
    <w:rsid w:val="00755B01"/>
    <w:rsid w:val="00757CFA"/>
    <w:rsid w:val="00765C3A"/>
    <w:rsid w:val="007664F2"/>
    <w:rsid w:val="007707C3"/>
    <w:rsid w:val="00771024"/>
    <w:rsid w:val="00773C07"/>
    <w:rsid w:val="0077495D"/>
    <w:rsid w:val="00775010"/>
    <w:rsid w:val="00775A86"/>
    <w:rsid w:val="0077632B"/>
    <w:rsid w:val="0077698B"/>
    <w:rsid w:val="0077777E"/>
    <w:rsid w:val="007823FE"/>
    <w:rsid w:val="00783331"/>
    <w:rsid w:val="0078426A"/>
    <w:rsid w:val="007848C9"/>
    <w:rsid w:val="007856D1"/>
    <w:rsid w:val="00791443"/>
    <w:rsid w:val="007920DD"/>
    <w:rsid w:val="00792CF3"/>
    <w:rsid w:val="0079322F"/>
    <w:rsid w:val="00793293"/>
    <w:rsid w:val="0079591F"/>
    <w:rsid w:val="0079631F"/>
    <w:rsid w:val="0079652E"/>
    <w:rsid w:val="007A0586"/>
    <w:rsid w:val="007A20A5"/>
    <w:rsid w:val="007A2ED9"/>
    <w:rsid w:val="007A460C"/>
    <w:rsid w:val="007A4AC5"/>
    <w:rsid w:val="007A5B45"/>
    <w:rsid w:val="007A6A13"/>
    <w:rsid w:val="007B0614"/>
    <w:rsid w:val="007B06E3"/>
    <w:rsid w:val="007B0CF9"/>
    <w:rsid w:val="007B104F"/>
    <w:rsid w:val="007B1A93"/>
    <w:rsid w:val="007B20BF"/>
    <w:rsid w:val="007B2392"/>
    <w:rsid w:val="007B2B7F"/>
    <w:rsid w:val="007B2DF7"/>
    <w:rsid w:val="007B31B4"/>
    <w:rsid w:val="007B438D"/>
    <w:rsid w:val="007B7CC7"/>
    <w:rsid w:val="007C0393"/>
    <w:rsid w:val="007C28C7"/>
    <w:rsid w:val="007C4F7B"/>
    <w:rsid w:val="007C6B53"/>
    <w:rsid w:val="007D0E2F"/>
    <w:rsid w:val="007D149A"/>
    <w:rsid w:val="007D3E83"/>
    <w:rsid w:val="007D4B85"/>
    <w:rsid w:val="007D4CBF"/>
    <w:rsid w:val="007D4CFA"/>
    <w:rsid w:val="007D5244"/>
    <w:rsid w:val="007D5C16"/>
    <w:rsid w:val="007E079D"/>
    <w:rsid w:val="007E0930"/>
    <w:rsid w:val="007E0BB6"/>
    <w:rsid w:val="007E0EE8"/>
    <w:rsid w:val="007E158F"/>
    <w:rsid w:val="007E3AB5"/>
    <w:rsid w:val="007E3E4D"/>
    <w:rsid w:val="007F083B"/>
    <w:rsid w:val="007F1E30"/>
    <w:rsid w:val="007F201D"/>
    <w:rsid w:val="007F446D"/>
    <w:rsid w:val="007F4EAA"/>
    <w:rsid w:val="007F5FE7"/>
    <w:rsid w:val="007F612F"/>
    <w:rsid w:val="007F7DBF"/>
    <w:rsid w:val="00801460"/>
    <w:rsid w:val="008015DA"/>
    <w:rsid w:val="00802552"/>
    <w:rsid w:val="008040C6"/>
    <w:rsid w:val="008048A8"/>
    <w:rsid w:val="00805098"/>
    <w:rsid w:val="00805699"/>
    <w:rsid w:val="00806280"/>
    <w:rsid w:val="008063C6"/>
    <w:rsid w:val="0080671C"/>
    <w:rsid w:val="008113EF"/>
    <w:rsid w:val="0081170E"/>
    <w:rsid w:val="00811ED2"/>
    <w:rsid w:val="0081229E"/>
    <w:rsid w:val="008134F8"/>
    <w:rsid w:val="008138FB"/>
    <w:rsid w:val="008139FE"/>
    <w:rsid w:val="00814864"/>
    <w:rsid w:val="00815990"/>
    <w:rsid w:val="00815ED9"/>
    <w:rsid w:val="00815FE9"/>
    <w:rsid w:val="008204C0"/>
    <w:rsid w:val="00820E89"/>
    <w:rsid w:val="00821633"/>
    <w:rsid w:val="00821DE1"/>
    <w:rsid w:val="008229D1"/>
    <w:rsid w:val="008242EF"/>
    <w:rsid w:val="00824364"/>
    <w:rsid w:val="008249C5"/>
    <w:rsid w:val="00824D12"/>
    <w:rsid w:val="00825218"/>
    <w:rsid w:val="00827466"/>
    <w:rsid w:val="00827CEA"/>
    <w:rsid w:val="00830004"/>
    <w:rsid w:val="00830977"/>
    <w:rsid w:val="00831207"/>
    <w:rsid w:val="00831F2D"/>
    <w:rsid w:val="00833D65"/>
    <w:rsid w:val="00833E0D"/>
    <w:rsid w:val="0083583D"/>
    <w:rsid w:val="00836DD4"/>
    <w:rsid w:val="00837462"/>
    <w:rsid w:val="00842A1B"/>
    <w:rsid w:val="008443B4"/>
    <w:rsid w:val="00844B5D"/>
    <w:rsid w:val="008451F2"/>
    <w:rsid w:val="00845CB1"/>
    <w:rsid w:val="00847545"/>
    <w:rsid w:val="0085176F"/>
    <w:rsid w:val="00851840"/>
    <w:rsid w:val="00853088"/>
    <w:rsid w:val="008533CD"/>
    <w:rsid w:val="00853C32"/>
    <w:rsid w:val="00854ED4"/>
    <w:rsid w:val="00855E6E"/>
    <w:rsid w:val="0085600A"/>
    <w:rsid w:val="00856DA9"/>
    <w:rsid w:val="008571AC"/>
    <w:rsid w:val="00857950"/>
    <w:rsid w:val="00857CC8"/>
    <w:rsid w:val="0086106E"/>
    <w:rsid w:val="00861E91"/>
    <w:rsid w:val="008642A2"/>
    <w:rsid w:val="008650EF"/>
    <w:rsid w:val="00865D4E"/>
    <w:rsid w:val="008664C5"/>
    <w:rsid w:val="00867D41"/>
    <w:rsid w:val="00870EF9"/>
    <w:rsid w:val="00870FC5"/>
    <w:rsid w:val="00871028"/>
    <w:rsid w:val="00871126"/>
    <w:rsid w:val="0087184D"/>
    <w:rsid w:val="0087480A"/>
    <w:rsid w:val="00875C93"/>
    <w:rsid w:val="008763F4"/>
    <w:rsid w:val="00877C49"/>
    <w:rsid w:val="00882D96"/>
    <w:rsid w:val="00884A92"/>
    <w:rsid w:val="00884B98"/>
    <w:rsid w:val="00885792"/>
    <w:rsid w:val="00890779"/>
    <w:rsid w:val="00890A43"/>
    <w:rsid w:val="00891B11"/>
    <w:rsid w:val="00892196"/>
    <w:rsid w:val="0089568E"/>
    <w:rsid w:val="00895EFD"/>
    <w:rsid w:val="00896608"/>
    <w:rsid w:val="00897B0F"/>
    <w:rsid w:val="008A12FB"/>
    <w:rsid w:val="008A2A89"/>
    <w:rsid w:val="008A333B"/>
    <w:rsid w:val="008A352B"/>
    <w:rsid w:val="008A4131"/>
    <w:rsid w:val="008A4759"/>
    <w:rsid w:val="008A5FE4"/>
    <w:rsid w:val="008B0154"/>
    <w:rsid w:val="008B21EE"/>
    <w:rsid w:val="008B39A9"/>
    <w:rsid w:val="008B4659"/>
    <w:rsid w:val="008B5EA9"/>
    <w:rsid w:val="008B7187"/>
    <w:rsid w:val="008B7FC4"/>
    <w:rsid w:val="008C08A3"/>
    <w:rsid w:val="008C2449"/>
    <w:rsid w:val="008C6197"/>
    <w:rsid w:val="008C7838"/>
    <w:rsid w:val="008D0DAF"/>
    <w:rsid w:val="008D323F"/>
    <w:rsid w:val="008D420F"/>
    <w:rsid w:val="008D45A0"/>
    <w:rsid w:val="008D4670"/>
    <w:rsid w:val="008D4882"/>
    <w:rsid w:val="008D53CC"/>
    <w:rsid w:val="008D5970"/>
    <w:rsid w:val="008D7C03"/>
    <w:rsid w:val="008E0834"/>
    <w:rsid w:val="008E08FA"/>
    <w:rsid w:val="008E0980"/>
    <w:rsid w:val="008E4592"/>
    <w:rsid w:val="008E52FC"/>
    <w:rsid w:val="008E6807"/>
    <w:rsid w:val="008E6A9A"/>
    <w:rsid w:val="008E6D4D"/>
    <w:rsid w:val="008E6F06"/>
    <w:rsid w:val="008F2D01"/>
    <w:rsid w:val="008F4A8D"/>
    <w:rsid w:val="008F5D3B"/>
    <w:rsid w:val="008F67CB"/>
    <w:rsid w:val="008F6D23"/>
    <w:rsid w:val="008F6F52"/>
    <w:rsid w:val="0090016C"/>
    <w:rsid w:val="00903212"/>
    <w:rsid w:val="00904E2C"/>
    <w:rsid w:val="00906B07"/>
    <w:rsid w:val="00906F83"/>
    <w:rsid w:val="00911AD0"/>
    <w:rsid w:val="0091248B"/>
    <w:rsid w:val="00912C6D"/>
    <w:rsid w:val="00912F99"/>
    <w:rsid w:val="00920455"/>
    <w:rsid w:val="00921322"/>
    <w:rsid w:val="00921EA5"/>
    <w:rsid w:val="009230A9"/>
    <w:rsid w:val="00924977"/>
    <w:rsid w:val="009255B9"/>
    <w:rsid w:val="0092707A"/>
    <w:rsid w:val="009272D0"/>
    <w:rsid w:val="009308C1"/>
    <w:rsid w:val="009324DD"/>
    <w:rsid w:val="00932687"/>
    <w:rsid w:val="00936042"/>
    <w:rsid w:val="00936F6C"/>
    <w:rsid w:val="00937D25"/>
    <w:rsid w:val="00942762"/>
    <w:rsid w:val="00945A56"/>
    <w:rsid w:val="00946F75"/>
    <w:rsid w:val="009477FC"/>
    <w:rsid w:val="0095000A"/>
    <w:rsid w:val="00953656"/>
    <w:rsid w:val="009544D7"/>
    <w:rsid w:val="00957586"/>
    <w:rsid w:val="00960714"/>
    <w:rsid w:val="00960F66"/>
    <w:rsid w:val="00961A08"/>
    <w:rsid w:val="00961C9F"/>
    <w:rsid w:val="00963A65"/>
    <w:rsid w:val="009653FB"/>
    <w:rsid w:val="00966AE9"/>
    <w:rsid w:val="00967F42"/>
    <w:rsid w:val="009703FD"/>
    <w:rsid w:val="00970B39"/>
    <w:rsid w:val="00970FC3"/>
    <w:rsid w:val="00974886"/>
    <w:rsid w:val="0097556E"/>
    <w:rsid w:val="009772B3"/>
    <w:rsid w:val="00980FF5"/>
    <w:rsid w:val="00982267"/>
    <w:rsid w:val="00982E54"/>
    <w:rsid w:val="0098326E"/>
    <w:rsid w:val="0098372E"/>
    <w:rsid w:val="00983AA7"/>
    <w:rsid w:val="00983F9E"/>
    <w:rsid w:val="00985662"/>
    <w:rsid w:val="009865CE"/>
    <w:rsid w:val="00986868"/>
    <w:rsid w:val="00990A6F"/>
    <w:rsid w:val="00990D75"/>
    <w:rsid w:val="00991FCE"/>
    <w:rsid w:val="00992817"/>
    <w:rsid w:val="00994771"/>
    <w:rsid w:val="00994A30"/>
    <w:rsid w:val="009951FF"/>
    <w:rsid w:val="00996251"/>
    <w:rsid w:val="00997A3B"/>
    <w:rsid w:val="009A25D8"/>
    <w:rsid w:val="009A5619"/>
    <w:rsid w:val="009A63C7"/>
    <w:rsid w:val="009B0CF8"/>
    <w:rsid w:val="009B1142"/>
    <w:rsid w:val="009B1A22"/>
    <w:rsid w:val="009B3BC1"/>
    <w:rsid w:val="009C2701"/>
    <w:rsid w:val="009C29C0"/>
    <w:rsid w:val="009C2B90"/>
    <w:rsid w:val="009C40AC"/>
    <w:rsid w:val="009C4794"/>
    <w:rsid w:val="009C49F2"/>
    <w:rsid w:val="009C5ADF"/>
    <w:rsid w:val="009C5D46"/>
    <w:rsid w:val="009C6FEE"/>
    <w:rsid w:val="009C73DD"/>
    <w:rsid w:val="009D032D"/>
    <w:rsid w:val="009D2020"/>
    <w:rsid w:val="009D2814"/>
    <w:rsid w:val="009D313C"/>
    <w:rsid w:val="009D3FB5"/>
    <w:rsid w:val="009D41FA"/>
    <w:rsid w:val="009D5E7B"/>
    <w:rsid w:val="009D72E3"/>
    <w:rsid w:val="009E09A9"/>
    <w:rsid w:val="009E13B0"/>
    <w:rsid w:val="009E1F70"/>
    <w:rsid w:val="009E275B"/>
    <w:rsid w:val="009E33FD"/>
    <w:rsid w:val="009F00F6"/>
    <w:rsid w:val="009F0C9C"/>
    <w:rsid w:val="009F0D95"/>
    <w:rsid w:val="009F3DE9"/>
    <w:rsid w:val="009F4ECA"/>
    <w:rsid w:val="009F755F"/>
    <w:rsid w:val="009F7589"/>
    <w:rsid w:val="00A00AC9"/>
    <w:rsid w:val="00A03231"/>
    <w:rsid w:val="00A037E2"/>
    <w:rsid w:val="00A04439"/>
    <w:rsid w:val="00A058DB"/>
    <w:rsid w:val="00A061F3"/>
    <w:rsid w:val="00A06F77"/>
    <w:rsid w:val="00A07FBA"/>
    <w:rsid w:val="00A10713"/>
    <w:rsid w:val="00A14F77"/>
    <w:rsid w:val="00A15D57"/>
    <w:rsid w:val="00A16CAB"/>
    <w:rsid w:val="00A17442"/>
    <w:rsid w:val="00A17F0F"/>
    <w:rsid w:val="00A20111"/>
    <w:rsid w:val="00A20ADC"/>
    <w:rsid w:val="00A21A4E"/>
    <w:rsid w:val="00A21B75"/>
    <w:rsid w:val="00A2371F"/>
    <w:rsid w:val="00A25118"/>
    <w:rsid w:val="00A252B0"/>
    <w:rsid w:val="00A26BFD"/>
    <w:rsid w:val="00A27243"/>
    <w:rsid w:val="00A27628"/>
    <w:rsid w:val="00A303F5"/>
    <w:rsid w:val="00A32A90"/>
    <w:rsid w:val="00A335F9"/>
    <w:rsid w:val="00A34D46"/>
    <w:rsid w:val="00A366E8"/>
    <w:rsid w:val="00A37E9A"/>
    <w:rsid w:val="00A400D6"/>
    <w:rsid w:val="00A414E7"/>
    <w:rsid w:val="00A41640"/>
    <w:rsid w:val="00A42097"/>
    <w:rsid w:val="00A44452"/>
    <w:rsid w:val="00A44F7D"/>
    <w:rsid w:val="00A45F6D"/>
    <w:rsid w:val="00A463A2"/>
    <w:rsid w:val="00A46C36"/>
    <w:rsid w:val="00A51B36"/>
    <w:rsid w:val="00A53DEE"/>
    <w:rsid w:val="00A54071"/>
    <w:rsid w:val="00A5497F"/>
    <w:rsid w:val="00A5518C"/>
    <w:rsid w:val="00A552A0"/>
    <w:rsid w:val="00A5548E"/>
    <w:rsid w:val="00A55602"/>
    <w:rsid w:val="00A568F2"/>
    <w:rsid w:val="00A56C12"/>
    <w:rsid w:val="00A57BD0"/>
    <w:rsid w:val="00A62A36"/>
    <w:rsid w:val="00A64780"/>
    <w:rsid w:val="00A6776B"/>
    <w:rsid w:val="00A70389"/>
    <w:rsid w:val="00A71170"/>
    <w:rsid w:val="00A73160"/>
    <w:rsid w:val="00A73FED"/>
    <w:rsid w:val="00A74514"/>
    <w:rsid w:val="00A768AB"/>
    <w:rsid w:val="00A76D7E"/>
    <w:rsid w:val="00A7742D"/>
    <w:rsid w:val="00A77C7C"/>
    <w:rsid w:val="00A77CFD"/>
    <w:rsid w:val="00A82087"/>
    <w:rsid w:val="00A82145"/>
    <w:rsid w:val="00A82184"/>
    <w:rsid w:val="00A82EF9"/>
    <w:rsid w:val="00A8363A"/>
    <w:rsid w:val="00A913ED"/>
    <w:rsid w:val="00A917CF"/>
    <w:rsid w:val="00A925F7"/>
    <w:rsid w:val="00A94E2B"/>
    <w:rsid w:val="00A97B2E"/>
    <w:rsid w:val="00A97F67"/>
    <w:rsid w:val="00AA0C9C"/>
    <w:rsid w:val="00AA148E"/>
    <w:rsid w:val="00AA1C13"/>
    <w:rsid w:val="00AA36A3"/>
    <w:rsid w:val="00AA3C46"/>
    <w:rsid w:val="00AA439D"/>
    <w:rsid w:val="00AB0082"/>
    <w:rsid w:val="00AB0638"/>
    <w:rsid w:val="00AB07C5"/>
    <w:rsid w:val="00AB0E3F"/>
    <w:rsid w:val="00AB1C84"/>
    <w:rsid w:val="00AB1D53"/>
    <w:rsid w:val="00AB5ABF"/>
    <w:rsid w:val="00AB7EDB"/>
    <w:rsid w:val="00AC0296"/>
    <w:rsid w:val="00AC03A6"/>
    <w:rsid w:val="00AC0C03"/>
    <w:rsid w:val="00AC2167"/>
    <w:rsid w:val="00AC2826"/>
    <w:rsid w:val="00AC2F5A"/>
    <w:rsid w:val="00AC3552"/>
    <w:rsid w:val="00AC4F1A"/>
    <w:rsid w:val="00AC55AE"/>
    <w:rsid w:val="00AC64A8"/>
    <w:rsid w:val="00AC770A"/>
    <w:rsid w:val="00AC7FB0"/>
    <w:rsid w:val="00AD0EC5"/>
    <w:rsid w:val="00AD1DCB"/>
    <w:rsid w:val="00AD1E32"/>
    <w:rsid w:val="00AD2EA3"/>
    <w:rsid w:val="00AD32CF"/>
    <w:rsid w:val="00AD35B1"/>
    <w:rsid w:val="00AD41BD"/>
    <w:rsid w:val="00AD4E85"/>
    <w:rsid w:val="00AD4F8A"/>
    <w:rsid w:val="00AD5B43"/>
    <w:rsid w:val="00AD6A43"/>
    <w:rsid w:val="00AD6CBC"/>
    <w:rsid w:val="00AE056A"/>
    <w:rsid w:val="00AE057E"/>
    <w:rsid w:val="00AE20AD"/>
    <w:rsid w:val="00AE2ED4"/>
    <w:rsid w:val="00AE3AA5"/>
    <w:rsid w:val="00AE4976"/>
    <w:rsid w:val="00AE5C4E"/>
    <w:rsid w:val="00AE615F"/>
    <w:rsid w:val="00AE6583"/>
    <w:rsid w:val="00AE6652"/>
    <w:rsid w:val="00AE6F00"/>
    <w:rsid w:val="00AE73E2"/>
    <w:rsid w:val="00AE758A"/>
    <w:rsid w:val="00AE7BB8"/>
    <w:rsid w:val="00AE7DBA"/>
    <w:rsid w:val="00AF0259"/>
    <w:rsid w:val="00AF41AD"/>
    <w:rsid w:val="00AF46FD"/>
    <w:rsid w:val="00AF478A"/>
    <w:rsid w:val="00AF4D3B"/>
    <w:rsid w:val="00AF59C1"/>
    <w:rsid w:val="00AF7DD9"/>
    <w:rsid w:val="00B00689"/>
    <w:rsid w:val="00B023FE"/>
    <w:rsid w:val="00B031AB"/>
    <w:rsid w:val="00B03743"/>
    <w:rsid w:val="00B05AAA"/>
    <w:rsid w:val="00B0697D"/>
    <w:rsid w:val="00B07474"/>
    <w:rsid w:val="00B07645"/>
    <w:rsid w:val="00B0797E"/>
    <w:rsid w:val="00B07FD7"/>
    <w:rsid w:val="00B10384"/>
    <w:rsid w:val="00B110F3"/>
    <w:rsid w:val="00B1140E"/>
    <w:rsid w:val="00B12206"/>
    <w:rsid w:val="00B13F19"/>
    <w:rsid w:val="00B14D77"/>
    <w:rsid w:val="00B164FA"/>
    <w:rsid w:val="00B165D1"/>
    <w:rsid w:val="00B16B5E"/>
    <w:rsid w:val="00B17C1C"/>
    <w:rsid w:val="00B17D2B"/>
    <w:rsid w:val="00B201FB"/>
    <w:rsid w:val="00B209CE"/>
    <w:rsid w:val="00B21095"/>
    <w:rsid w:val="00B221E1"/>
    <w:rsid w:val="00B2266C"/>
    <w:rsid w:val="00B22720"/>
    <w:rsid w:val="00B22986"/>
    <w:rsid w:val="00B236CC"/>
    <w:rsid w:val="00B23792"/>
    <w:rsid w:val="00B2462F"/>
    <w:rsid w:val="00B24C0C"/>
    <w:rsid w:val="00B24C5F"/>
    <w:rsid w:val="00B24F66"/>
    <w:rsid w:val="00B25EC9"/>
    <w:rsid w:val="00B260AC"/>
    <w:rsid w:val="00B26866"/>
    <w:rsid w:val="00B30418"/>
    <w:rsid w:val="00B30C7D"/>
    <w:rsid w:val="00B315A1"/>
    <w:rsid w:val="00B3177B"/>
    <w:rsid w:val="00B330A9"/>
    <w:rsid w:val="00B33377"/>
    <w:rsid w:val="00B3401E"/>
    <w:rsid w:val="00B341FF"/>
    <w:rsid w:val="00B367A0"/>
    <w:rsid w:val="00B37B68"/>
    <w:rsid w:val="00B40D79"/>
    <w:rsid w:val="00B43C06"/>
    <w:rsid w:val="00B43F7B"/>
    <w:rsid w:val="00B50B14"/>
    <w:rsid w:val="00B51208"/>
    <w:rsid w:val="00B5128D"/>
    <w:rsid w:val="00B52F6C"/>
    <w:rsid w:val="00B53816"/>
    <w:rsid w:val="00B53A92"/>
    <w:rsid w:val="00B54BAE"/>
    <w:rsid w:val="00B55D82"/>
    <w:rsid w:val="00B56D93"/>
    <w:rsid w:val="00B61860"/>
    <w:rsid w:val="00B61FC4"/>
    <w:rsid w:val="00B61FCC"/>
    <w:rsid w:val="00B62B3B"/>
    <w:rsid w:val="00B63829"/>
    <w:rsid w:val="00B63AB1"/>
    <w:rsid w:val="00B63F2F"/>
    <w:rsid w:val="00B65896"/>
    <w:rsid w:val="00B66F81"/>
    <w:rsid w:val="00B6749A"/>
    <w:rsid w:val="00B67AAD"/>
    <w:rsid w:val="00B70579"/>
    <w:rsid w:val="00B71073"/>
    <w:rsid w:val="00B7121A"/>
    <w:rsid w:val="00B71429"/>
    <w:rsid w:val="00B71FCC"/>
    <w:rsid w:val="00B73347"/>
    <w:rsid w:val="00B73B65"/>
    <w:rsid w:val="00B73C52"/>
    <w:rsid w:val="00B7477E"/>
    <w:rsid w:val="00B76748"/>
    <w:rsid w:val="00B82678"/>
    <w:rsid w:val="00B82D6B"/>
    <w:rsid w:val="00B83556"/>
    <w:rsid w:val="00B84C66"/>
    <w:rsid w:val="00B84E41"/>
    <w:rsid w:val="00B85F9B"/>
    <w:rsid w:val="00B90F4B"/>
    <w:rsid w:val="00B93FE6"/>
    <w:rsid w:val="00B940CB"/>
    <w:rsid w:val="00B94150"/>
    <w:rsid w:val="00B94D5D"/>
    <w:rsid w:val="00B95AF6"/>
    <w:rsid w:val="00B9737D"/>
    <w:rsid w:val="00B97ACF"/>
    <w:rsid w:val="00BA18D7"/>
    <w:rsid w:val="00BA3C20"/>
    <w:rsid w:val="00BA4793"/>
    <w:rsid w:val="00BA54CC"/>
    <w:rsid w:val="00BA56CF"/>
    <w:rsid w:val="00BA7D69"/>
    <w:rsid w:val="00BB12C3"/>
    <w:rsid w:val="00BB1893"/>
    <w:rsid w:val="00BB25A6"/>
    <w:rsid w:val="00BB2F82"/>
    <w:rsid w:val="00BB3BC4"/>
    <w:rsid w:val="00BB552A"/>
    <w:rsid w:val="00BB7035"/>
    <w:rsid w:val="00BB7387"/>
    <w:rsid w:val="00BC1316"/>
    <w:rsid w:val="00BC2F3B"/>
    <w:rsid w:val="00BC42E6"/>
    <w:rsid w:val="00BC49D7"/>
    <w:rsid w:val="00BC5F4E"/>
    <w:rsid w:val="00BC6C62"/>
    <w:rsid w:val="00BC6E86"/>
    <w:rsid w:val="00BD2710"/>
    <w:rsid w:val="00BD4C70"/>
    <w:rsid w:val="00BD4D13"/>
    <w:rsid w:val="00BD6BF3"/>
    <w:rsid w:val="00BD7493"/>
    <w:rsid w:val="00BD779F"/>
    <w:rsid w:val="00BE157F"/>
    <w:rsid w:val="00BE17D6"/>
    <w:rsid w:val="00BE2120"/>
    <w:rsid w:val="00BE2BA5"/>
    <w:rsid w:val="00BE3203"/>
    <w:rsid w:val="00BE7C39"/>
    <w:rsid w:val="00BF0B5A"/>
    <w:rsid w:val="00BF0E50"/>
    <w:rsid w:val="00BF1087"/>
    <w:rsid w:val="00BF197E"/>
    <w:rsid w:val="00BF2ACA"/>
    <w:rsid w:val="00BF3B79"/>
    <w:rsid w:val="00BF3CC8"/>
    <w:rsid w:val="00BF461A"/>
    <w:rsid w:val="00BF53CF"/>
    <w:rsid w:val="00BF604E"/>
    <w:rsid w:val="00BF65B7"/>
    <w:rsid w:val="00BF674C"/>
    <w:rsid w:val="00BF6C04"/>
    <w:rsid w:val="00BF72F2"/>
    <w:rsid w:val="00C05642"/>
    <w:rsid w:val="00C076A7"/>
    <w:rsid w:val="00C07F76"/>
    <w:rsid w:val="00C1007F"/>
    <w:rsid w:val="00C10564"/>
    <w:rsid w:val="00C121BA"/>
    <w:rsid w:val="00C135DE"/>
    <w:rsid w:val="00C1516E"/>
    <w:rsid w:val="00C1772C"/>
    <w:rsid w:val="00C21CDB"/>
    <w:rsid w:val="00C22816"/>
    <w:rsid w:val="00C228F1"/>
    <w:rsid w:val="00C23758"/>
    <w:rsid w:val="00C244DD"/>
    <w:rsid w:val="00C24E21"/>
    <w:rsid w:val="00C267D3"/>
    <w:rsid w:val="00C304B2"/>
    <w:rsid w:val="00C31403"/>
    <w:rsid w:val="00C31E27"/>
    <w:rsid w:val="00C33CFF"/>
    <w:rsid w:val="00C343D6"/>
    <w:rsid w:val="00C361FC"/>
    <w:rsid w:val="00C377A1"/>
    <w:rsid w:val="00C37C18"/>
    <w:rsid w:val="00C37CBB"/>
    <w:rsid w:val="00C37D8C"/>
    <w:rsid w:val="00C40D50"/>
    <w:rsid w:val="00C41895"/>
    <w:rsid w:val="00C42B54"/>
    <w:rsid w:val="00C42B83"/>
    <w:rsid w:val="00C45754"/>
    <w:rsid w:val="00C46F43"/>
    <w:rsid w:val="00C47519"/>
    <w:rsid w:val="00C50443"/>
    <w:rsid w:val="00C50470"/>
    <w:rsid w:val="00C51A1A"/>
    <w:rsid w:val="00C51A66"/>
    <w:rsid w:val="00C53074"/>
    <w:rsid w:val="00C53ACE"/>
    <w:rsid w:val="00C53EEE"/>
    <w:rsid w:val="00C54DBD"/>
    <w:rsid w:val="00C567B0"/>
    <w:rsid w:val="00C57088"/>
    <w:rsid w:val="00C571C4"/>
    <w:rsid w:val="00C5724D"/>
    <w:rsid w:val="00C57949"/>
    <w:rsid w:val="00C6073A"/>
    <w:rsid w:val="00C61915"/>
    <w:rsid w:val="00C62852"/>
    <w:rsid w:val="00C645CB"/>
    <w:rsid w:val="00C646FB"/>
    <w:rsid w:val="00C64BE5"/>
    <w:rsid w:val="00C64C12"/>
    <w:rsid w:val="00C666E2"/>
    <w:rsid w:val="00C7158A"/>
    <w:rsid w:val="00C715D6"/>
    <w:rsid w:val="00C7241E"/>
    <w:rsid w:val="00C76A77"/>
    <w:rsid w:val="00C77C56"/>
    <w:rsid w:val="00C77D2E"/>
    <w:rsid w:val="00C80478"/>
    <w:rsid w:val="00C80592"/>
    <w:rsid w:val="00C80817"/>
    <w:rsid w:val="00C80C01"/>
    <w:rsid w:val="00C80F04"/>
    <w:rsid w:val="00C82DA5"/>
    <w:rsid w:val="00C84513"/>
    <w:rsid w:val="00C84920"/>
    <w:rsid w:val="00C87DED"/>
    <w:rsid w:val="00C90711"/>
    <w:rsid w:val="00C9317C"/>
    <w:rsid w:val="00C9376D"/>
    <w:rsid w:val="00C942F5"/>
    <w:rsid w:val="00C95EAA"/>
    <w:rsid w:val="00C965EC"/>
    <w:rsid w:val="00C96CE1"/>
    <w:rsid w:val="00C97C32"/>
    <w:rsid w:val="00CA10CF"/>
    <w:rsid w:val="00CA7EED"/>
    <w:rsid w:val="00CB00F3"/>
    <w:rsid w:val="00CB092D"/>
    <w:rsid w:val="00CB1E82"/>
    <w:rsid w:val="00CB4DD8"/>
    <w:rsid w:val="00CB54A0"/>
    <w:rsid w:val="00CB57F2"/>
    <w:rsid w:val="00CB60A9"/>
    <w:rsid w:val="00CB618F"/>
    <w:rsid w:val="00CB676D"/>
    <w:rsid w:val="00CB7CBB"/>
    <w:rsid w:val="00CC1BC3"/>
    <w:rsid w:val="00CC1C4D"/>
    <w:rsid w:val="00CC2142"/>
    <w:rsid w:val="00CC363D"/>
    <w:rsid w:val="00CC4CD0"/>
    <w:rsid w:val="00CC5197"/>
    <w:rsid w:val="00CC6EB7"/>
    <w:rsid w:val="00CC7509"/>
    <w:rsid w:val="00CC7CE9"/>
    <w:rsid w:val="00CD1B5E"/>
    <w:rsid w:val="00CD2107"/>
    <w:rsid w:val="00CD3ABF"/>
    <w:rsid w:val="00CD4011"/>
    <w:rsid w:val="00CD66D4"/>
    <w:rsid w:val="00CD6B5B"/>
    <w:rsid w:val="00CD78BC"/>
    <w:rsid w:val="00CD7CDF"/>
    <w:rsid w:val="00CE0472"/>
    <w:rsid w:val="00CE0CB1"/>
    <w:rsid w:val="00CE0EB2"/>
    <w:rsid w:val="00CE1419"/>
    <w:rsid w:val="00CE4448"/>
    <w:rsid w:val="00CE58E4"/>
    <w:rsid w:val="00CE63A7"/>
    <w:rsid w:val="00CE6666"/>
    <w:rsid w:val="00CE7A7E"/>
    <w:rsid w:val="00CF003B"/>
    <w:rsid w:val="00CF1B62"/>
    <w:rsid w:val="00CF1B69"/>
    <w:rsid w:val="00CF2072"/>
    <w:rsid w:val="00CF5812"/>
    <w:rsid w:val="00CF655B"/>
    <w:rsid w:val="00CF713C"/>
    <w:rsid w:val="00D00046"/>
    <w:rsid w:val="00D0006A"/>
    <w:rsid w:val="00D01392"/>
    <w:rsid w:val="00D021A8"/>
    <w:rsid w:val="00D02258"/>
    <w:rsid w:val="00D04957"/>
    <w:rsid w:val="00D07E60"/>
    <w:rsid w:val="00D10CBC"/>
    <w:rsid w:val="00D118FC"/>
    <w:rsid w:val="00D12814"/>
    <w:rsid w:val="00D1493F"/>
    <w:rsid w:val="00D15369"/>
    <w:rsid w:val="00D1593E"/>
    <w:rsid w:val="00D165B6"/>
    <w:rsid w:val="00D16C7F"/>
    <w:rsid w:val="00D16DC9"/>
    <w:rsid w:val="00D17C68"/>
    <w:rsid w:val="00D2005B"/>
    <w:rsid w:val="00D20293"/>
    <w:rsid w:val="00D224E2"/>
    <w:rsid w:val="00D23A77"/>
    <w:rsid w:val="00D2512F"/>
    <w:rsid w:val="00D26D00"/>
    <w:rsid w:val="00D27D55"/>
    <w:rsid w:val="00D302B7"/>
    <w:rsid w:val="00D3077B"/>
    <w:rsid w:val="00D31375"/>
    <w:rsid w:val="00D313AF"/>
    <w:rsid w:val="00D3179F"/>
    <w:rsid w:val="00D327A4"/>
    <w:rsid w:val="00D34A15"/>
    <w:rsid w:val="00D34CED"/>
    <w:rsid w:val="00D356D9"/>
    <w:rsid w:val="00D409E5"/>
    <w:rsid w:val="00D4185D"/>
    <w:rsid w:val="00D42D30"/>
    <w:rsid w:val="00D43F7D"/>
    <w:rsid w:val="00D44863"/>
    <w:rsid w:val="00D45048"/>
    <w:rsid w:val="00D4571E"/>
    <w:rsid w:val="00D45772"/>
    <w:rsid w:val="00D476B8"/>
    <w:rsid w:val="00D5055B"/>
    <w:rsid w:val="00D51246"/>
    <w:rsid w:val="00D51390"/>
    <w:rsid w:val="00D51B24"/>
    <w:rsid w:val="00D52F66"/>
    <w:rsid w:val="00D53425"/>
    <w:rsid w:val="00D55413"/>
    <w:rsid w:val="00D55F48"/>
    <w:rsid w:val="00D55F5B"/>
    <w:rsid w:val="00D56B19"/>
    <w:rsid w:val="00D60562"/>
    <w:rsid w:val="00D615DA"/>
    <w:rsid w:val="00D628B5"/>
    <w:rsid w:val="00D62BDB"/>
    <w:rsid w:val="00D70061"/>
    <w:rsid w:val="00D703A0"/>
    <w:rsid w:val="00D707C7"/>
    <w:rsid w:val="00D71626"/>
    <w:rsid w:val="00D72450"/>
    <w:rsid w:val="00D74A9E"/>
    <w:rsid w:val="00D76760"/>
    <w:rsid w:val="00D76F3D"/>
    <w:rsid w:val="00D77D0F"/>
    <w:rsid w:val="00D81584"/>
    <w:rsid w:val="00D82B98"/>
    <w:rsid w:val="00D83465"/>
    <w:rsid w:val="00D84A49"/>
    <w:rsid w:val="00D84D9E"/>
    <w:rsid w:val="00D8531A"/>
    <w:rsid w:val="00D8663F"/>
    <w:rsid w:val="00D86BF9"/>
    <w:rsid w:val="00D874AD"/>
    <w:rsid w:val="00D8783A"/>
    <w:rsid w:val="00D90F41"/>
    <w:rsid w:val="00D90F65"/>
    <w:rsid w:val="00D9164B"/>
    <w:rsid w:val="00D96630"/>
    <w:rsid w:val="00D977E3"/>
    <w:rsid w:val="00DA23F5"/>
    <w:rsid w:val="00DA2B9E"/>
    <w:rsid w:val="00DA4445"/>
    <w:rsid w:val="00DA6C87"/>
    <w:rsid w:val="00DA6FC9"/>
    <w:rsid w:val="00DA7F89"/>
    <w:rsid w:val="00DB31AD"/>
    <w:rsid w:val="00DB71B0"/>
    <w:rsid w:val="00DC0BA0"/>
    <w:rsid w:val="00DC0F64"/>
    <w:rsid w:val="00DC122C"/>
    <w:rsid w:val="00DC1251"/>
    <w:rsid w:val="00DC195C"/>
    <w:rsid w:val="00DC1A31"/>
    <w:rsid w:val="00DC2B48"/>
    <w:rsid w:val="00DC6065"/>
    <w:rsid w:val="00DC6848"/>
    <w:rsid w:val="00DD0B91"/>
    <w:rsid w:val="00DD0BB8"/>
    <w:rsid w:val="00DD0F45"/>
    <w:rsid w:val="00DD10E1"/>
    <w:rsid w:val="00DD240A"/>
    <w:rsid w:val="00DD2B8D"/>
    <w:rsid w:val="00DD311A"/>
    <w:rsid w:val="00DD4143"/>
    <w:rsid w:val="00DD503B"/>
    <w:rsid w:val="00DD601F"/>
    <w:rsid w:val="00DD6BB1"/>
    <w:rsid w:val="00DE2294"/>
    <w:rsid w:val="00DE2B18"/>
    <w:rsid w:val="00DE38E8"/>
    <w:rsid w:val="00DE4A92"/>
    <w:rsid w:val="00DE4FDD"/>
    <w:rsid w:val="00DE5650"/>
    <w:rsid w:val="00DE5BCD"/>
    <w:rsid w:val="00DE5ED9"/>
    <w:rsid w:val="00DE6A96"/>
    <w:rsid w:val="00DE793A"/>
    <w:rsid w:val="00DE7CDD"/>
    <w:rsid w:val="00DF1391"/>
    <w:rsid w:val="00DF1576"/>
    <w:rsid w:val="00DF292B"/>
    <w:rsid w:val="00DF29BB"/>
    <w:rsid w:val="00DF3BC0"/>
    <w:rsid w:val="00DF490F"/>
    <w:rsid w:val="00DF50C7"/>
    <w:rsid w:val="00DF5278"/>
    <w:rsid w:val="00DF684F"/>
    <w:rsid w:val="00DF767F"/>
    <w:rsid w:val="00DF7D4B"/>
    <w:rsid w:val="00E00960"/>
    <w:rsid w:val="00E02BF1"/>
    <w:rsid w:val="00E02F25"/>
    <w:rsid w:val="00E02F55"/>
    <w:rsid w:val="00E03C9C"/>
    <w:rsid w:val="00E05459"/>
    <w:rsid w:val="00E05CC6"/>
    <w:rsid w:val="00E061E9"/>
    <w:rsid w:val="00E062C4"/>
    <w:rsid w:val="00E07635"/>
    <w:rsid w:val="00E102E2"/>
    <w:rsid w:val="00E11BBE"/>
    <w:rsid w:val="00E126DC"/>
    <w:rsid w:val="00E139D7"/>
    <w:rsid w:val="00E14668"/>
    <w:rsid w:val="00E1529A"/>
    <w:rsid w:val="00E162F9"/>
    <w:rsid w:val="00E164C3"/>
    <w:rsid w:val="00E20D0A"/>
    <w:rsid w:val="00E2135C"/>
    <w:rsid w:val="00E2189E"/>
    <w:rsid w:val="00E22212"/>
    <w:rsid w:val="00E22BBC"/>
    <w:rsid w:val="00E231B2"/>
    <w:rsid w:val="00E254F7"/>
    <w:rsid w:val="00E25526"/>
    <w:rsid w:val="00E279A3"/>
    <w:rsid w:val="00E30187"/>
    <w:rsid w:val="00E30B01"/>
    <w:rsid w:val="00E33ED2"/>
    <w:rsid w:val="00E34000"/>
    <w:rsid w:val="00E35804"/>
    <w:rsid w:val="00E40D57"/>
    <w:rsid w:val="00E4108D"/>
    <w:rsid w:val="00E4130B"/>
    <w:rsid w:val="00E41E1B"/>
    <w:rsid w:val="00E4259B"/>
    <w:rsid w:val="00E428DA"/>
    <w:rsid w:val="00E45551"/>
    <w:rsid w:val="00E461D9"/>
    <w:rsid w:val="00E4719A"/>
    <w:rsid w:val="00E50002"/>
    <w:rsid w:val="00E50FBA"/>
    <w:rsid w:val="00E5444A"/>
    <w:rsid w:val="00E544A0"/>
    <w:rsid w:val="00E56701"/>
    <w:rsid w:val="00E57599"/>
    <w:rsid w:val="00E60A43"/>
    <w:rsid w:val="00E73DDD"/>
    <w:rsid w:val="00E74664"/>
    <w:rsid w:val="00E74DA1"/>
    <w:rsid w:val="00E76221"/>
    <w:rsid w:val="00E77522"/>
    <w:rsid w:val="00E806FB"/>
    <w:rsid w:val="00E81608"/>
    <w:rsid w:val="00E81AE0"/>
    <w:rsid w:val="00E82D10"/>
    <w:rsid w:val="00E84325"/>
    <w:rsid w:val="00E846BD"/>
    <w:rsid w:val="00E848E2"/>
    <w:rsid w:val="00E85304"/>
    <w:rsid w:val="00E86AE4"/>
    <w:rsid w:val="00E87C40"/>
    <w:rsid w:val="00E90FCC"/>
    <w:rsid w:val="00E91EB5"/>
    <w:rsid w:val="00E92C5E"/>
    <w:rsid w:val="00E93C73"/>
    <w:rsid w:val="00E974E1"/>
    <w:rsid w:val="00E97758"/>
    <w:rsid w:val="00EA4D0A"/>
    <w:rsid w:val="00EA58B1"/>
    <w:rsid w:val="00EA66A3"/>
    <w:rsid w:val="00EA7925"/>
    <w:rsid w:val="00EB0E25"/>
    <w:rsid w:val="00EB1672"/>
    <w:rsid w:val="00EB24D4"/>
    <w:rsid w:val="00EB49AB"/>
    <w:rsid w:val="00EB5D68"/>
    <w:rsid w:val="00EB5F2B"/>
    <w:rsid w:val="00EB60AF"/>
    <w:rsid w:val="00EB627B"/>
    <w:rsid w:val="00EB637C"/>
    <w:rsid w:val="00EB6FF2"/>
    <w:rsid w:val="00EC1D19"/>
    <w:rsid w:val="00EC259E"/>
    <w:rsid w:val="00EC31C1"/>
    <w:rsid w:val="00EC3BB9"/>
    <w:rsid w:val="00EC3DC6"/>
    <w:rsid w:val="00EC4D09"/>
    <w:rsid w:val="00EC63D8"/>
    <w:rsid w:val="00EC6C0F"/>
    <w:rsid w:val="00EC773D"/>
    <w:rsid w:val="00ED0096"/>
    <w:rsid w:val="00ED0A31"/>
    <w:rsid w:val="00ED1E86"/>
    <w:rsid w:val="00ED2482"/>
    <w:rsid w:val="00ED379B"/>
    <w:rsid w:val="00ED37FE"/>
    <w:rsid w:val="00ED5CC3"/>
    <w:rsid w:val="00ED7CF1"/>
    <w:rsid w:val="00EE0D63"/>
    <w:rsid w:val="00EE1522"/>
    <w:rsid w:val="00EE1A8A"/>
    <w:rsid w:val="00EE5985"/>
    <w:rsid w:val="00EE5BF0"/>
    <w:rsid w:val="00EE668A"/>
    <w:rsid w:val="00EE7E7E"/>
    <w:rsid w:val="00EF3329"/>
    <w:rsid w:val="00EF5E50"/>
    <w:rsid w:val="00EF75F1"/>
    <w:rsid w:val="00F04CC9"/>
    <w:rsid w:val="00F058DE"/>
    <w:rsid w:val="00F062C5"/>
    <w:rsid w:val="00F07180"/>
    <w:rsid w:val="00F10677"/>
    <w:rsid w:val="00F109BA"/>
    <w:rsid w:val="00F113EA"/>
    <w:rsid w:val="00F11AD2"/>
    <w:rsid w:val="00F11E98"/>
    <w:rsid w:val="00F12925"/>
    <w:rsid w:val="00F1319A"/>
    <w:rsid w:val="00F13795"/>
    <w:rsid w:val="00F14BD4"/>
    <w:rsid w:val="00F15F4C"/>
    <w:rsid w:val="00F15FBF"/>
    <w:rsid w:val="00F17936"/>
    <w:rsid w:val="00F204AD"/>
    <w:rsid w:val="00F232D1"/>
    <w:rsid w:val="00F23592"/>
    <w:rsid w:val="00F2622D"/>
    <w:rsid w:val="00F26D7B"/>
    <w:rsid w:val="00F278A2"/>
    <w:rsid w:val="00F32418"/>
    <w:rsid w:val="00F32FCD"/>
    <w:rsid w:val="00F33842"/>
    <w:rsid w:val="00F33993"/>
    <w:rsid w:val="00F34585"/>
    <w:rsid w:val="00F352CB"/>
    <w:rsid w:val="00F35AAA"/>
    <w:rsid w:val="00F35F31"/>
    <w:rsid w:val="00F36144"/>
    <w:rsid w:val="00F37036"/>
    <w:rsid w:val="00F3715E"/>
    <w:rsid w:val="00F4096D"/>
    <w:rsid w:val="00F457B1"/>
    <w:rsid w:val="00F459F5"/>
    <w:rsid w:val="00F46166"/>
    <w:rsid w:val="00F469DB"/>
    <w:rsid w:val="00F473A6"/>
    <w:rsid w:val="00F56F00"/>
    <w:rsid w:val="00F6107D"/>
    <w:rsid w:val="00F6177C"/>
    <w:rsid w:val="00F618D7"/>
    <w:rsid w:val="00F64E90"/>
    <w:rsid w:val="00F6567C"/>
    <w:rsid w:val="00F66D9D"/>
    <w:rsid w:val="00F678FE"/>
    <w:rsid w:val="00F72AFB"/>
    <w:rsid w:val="00F733D2"/>
    <w:rsid w:val="00F7412F"/>
    <w:rsid w:val="00F74A4C"/>
    <w:rsid w:val="00F768BD"/>
    <w:rsid w:val="00F8052E"/>
    <w:rsid w:val="00F81F20"/>
    <w:rsid w:val="00F834B0"/>
    <w:rsid w:val="00F84521"/>
    <w:rsid w:val="00F84DC8"/>
    <w:rsid w:val="00F85E35"/>
    <w:rsid w:val="00F903C6"/>
    <w:rsid w:val="00F90B0D"/>
    <w:rsid w:val="00F91587"/>
    <w:rsid w:val="00F91F28"/>
    <w:rsid w:val="00F93AD2"/>
    <w:rsid w:val="00F94FF8"/>
    <w:rsid w:val="00F97799"/>
    <w:rsid w:val="00FA1582"/>
    <w:rsid w:val="00FA2AFA"/>
    <w:rsid w:val="00FA3C6B"/>
    <w:rsid w:val="00FA5A3F"/>
    <w:rsid w:val="00FA5A58"/>
    <w:rsid w:val="00FA70EF"/>
    <w:rsid w:val="00FA7524"/>
    <w:rsid w:val="00FA79A6"/>
    <w:rsid w:val="00FB0DBA"/>
    <w:rsid w:val="00FB10DA"/>
    <w:rsid w:val="00FB1481"/>
    <w:rsid w:val="00FB235F"/>
    <w:rsid w:val="00FB258C"/>
    <w:rsid w:val="00FB3913"/>
    <w:rsid w:val="00FB47A0"/>
    <w:rsid w:val="00FB47DA"/>
    <w:rsid w:val="00FB4940"/>
    <w:rsid w:val="00FB4E64"/>
    <w:rsid w:val="00FB6CB1"/>
    <w:rsid w:val="00FB7AD7"/>
    <w:rsid w:val="00FC189E"/>
    <w:rsid w:val="00FC1B0E"/>
    <w:rsid w:val="00FC2F30"/>
    <w:rsid w:val="00FC3197"/>
    <w:rsid w:val="00FC4A15"/>
    <w:rsid w:val="00FC607B"/>
    <w:rsid w:val="00FC664D"/>
    <w:rsid w:val="00FC7A01"/>
    <w:rsid w:val="00FD02F6"/>
    <w:rsid w:val="00FD0691"/>
    <w:rsid w:val="00FD1FE5"/>
    <w:rsid w:val="00FD2C8C"/>
    <w:rsid w:val="00FD478B"/>
    <w:rsid w:val="00FD515E"/>
    <w:rsid w:val="00FD6253"/>
    <w:rsid w:val="00FD63F8"/>
    <w:rsid w:val="00FD69EF"/>
    <w:rsid w:val="00FD6E50"/>
    <w:rsid w:val="00FD6F7B"/>
    <w:rsid w:val="00FD7A23"/>
    <w:rsid w:val="00FE0B78"/>
    <w:rsid w:val="00FE1A0C"/>
    <w:rsid w:val="00FE24B4"/>
    <w:rsid w:val="00FE3832"/>
    <w:rsid w:val="00FE6B77"/>
    <w:rsid w:val="00FF1666"/>
    <w:rsid w:val="00FF2935"/>
    <w:rsid w:val="00FF2F0C"/>
    <w:rsid w:val="00FF3863"/>
    <w:rsid w:val="00FF5C6A"/>
    <w:rsid w:val="00FF72EB"/>
    <w:rsid w:val="00FF74E5"/>
    <w:rsid w:val="00FF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A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3D8D"/>
    <w:pPr>
      <w:tabs>
        <w:tab w:val="center" w:pos="4320"/>
        <w:tab w:val="right" w:pos="8640"/>
      </w:tabs>
    </w:pPr>
  </w:style>
  <w:style w:type="character" w:customStyle="1" w:styleId="FooterChar">
    <w:name w:val="Footer Char"/>
    <w:basedOn w:val="DefaultParagraphFont"/>
    <w:link w:val="Footer"/>
    <w:uiPriority w:val="99"/>
    <w:rsid w:val="00162796"/>
    <w:rPr>
      <w:sz w:val="24"/>
      <w:szCs w:val="24"/>
    </w:rPr>
  </w:style>
  <w:style w:type="character" w:styleId="PageNumber">
    <w:name w:val="page number"/>
    <w:basedOn w:val="DefaultParagraphFont"/>
    <w:rsid w:val="00233D8D"/>
  </w:style>
  <w:style w:type="paragraph" w:styleId="BalloonText">
    <w:name w:val="Balloon Text"/>
    <w:basedOn w:val="Normal"/>
    <w:link w:val="BalloonTextChar"/>
    <w:uiPriority w:val="99"/>
    <w:semiHidden/>
    <w:unhideWhenUsed/>
    <w:rsid w:val="003B0DA0"/>
    <w:rPr>
      <w:rFonts w:ascii="Tahoma" w:hAnsi="Tahoma" w:cs="Tahoma"/>
      <w:sz w:val="16"/>
      <w:szCs w:val="16"/>
    </w:rPr>
  </w:style>
  <w:style w:type="character" w:customStyle="1" w:styleId="BalloonTextChar">
    <w:name w:val="Balloon Text Char"/>
    <w:basedOn w:val="DefaultParagraphFont"/>
    <w:link w:val="BalloonText"/>
    <w:uiPriority w:val="99"/>
    <w:semiHidden/>
    <w:rsid w:val="003B0DA0"/>
    <w:rPr>
      <w:rFonts w:ascii="Tahoma" w:hAnsi="Tahoma" w:cs="Tahoma"/>
      <w:sz w:val="16"/>
      <w:szCs w:val="16"/>
    </w:rPr>
  </w:style>
  <w:style w:type="paragraph" w:styleId="PlainText">
    <w:name w:val="Plain Text"/>
    <w:basedOn w:val="Normal"/>
    <w:link w:val="PlainTextChar"/>
    <w:uiPriority w:val="99"/>
    <w:unhideWhenUsed/>
    <w:rsid w:val="00BB25A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B25A6"/>
    <w:rPr>
      <w:rFonts w:ascii="Consolas" w:eastAsiaTheme="minorHAnsi" w:hAnsi="Consolas" w:cstheme="minorBidi"/>
      <w:sz w:val="21"/>
      <w:szCs w:val="21"/>
    </w:rPr>
  </w:style>
  <w:style w:type="character" w:styleId="Hyperlink">
    <w:name w:val="Hyperlink"/>
    <w:basedOn w:val="DefaultParagraphFont"/>
    <w:uiPriority w:val="99"/>
    <w:unhideWhenUsed/>
    <w:rsid w:val="00245CB0"/>
    <w:rPr>
      <w:color w:val="0000FF" w:themeColor="hyperlink"/>
      <w:u w:val="single"/>
    </w:rPr>
  </w:style>
  <w:style w:type="character" w:styleId="FollowedHyperlink">
    <w:name w:val="FollowedHyperlink"/>
    <w:basedOn w:val="DefaultParagraphFont"/>
    <w:uiPriority w:val="99"/>
    <w:semiHidden/>
    <w:unhideWhenUsed/>
    <w:rsid w:val="00E1529A"/>
    <w:rPr>
      <w:color w:val="800080" w:themeColor="followedHyperlink"/>
      <w:u w:val="single"/>
    </w:rPr>
  </w:style>
  <w:style w:type="paragraph" w:styleId="ListParagraph">
    <w:name w:val="List Paragraph"/>
    <w:basedOn w:val="Normal"/>
    <w:uiPriority w:val="34"/>
    <w:qFormat/>
    <w:rsid w:val="001B500E"/>
    <w:pPr>
      <w:ind w:left="720"/>
      <w:contextualSpacing/>
    </w:pPr>
  </w:style>
  <w:style w:type="character" w:styleId="PlaceholderText">
    <w:name w:val="Placeholder Text"/>
    <w:basedOn w:val="DefaultParagraphFont"/>
    <w:uiPriority w:val="99"/>
    <w:semiHidden/>
    <w:rsid w:val="001B500E"/>
    <w:rPr>
      <w:color w:val="808080"/>
    </w:rPr>
  </w:style>
  <w:style w:type="paragraph" w:styleId="NormalWeb">
    <w:name w:val="Normal (Web)"/>
    <w:basedOn w:val="Normal"/>
    <w:uiPriority w:val="99"/>
    <w:unhideWhenUsed/>
    <w:rsid w:val="00D74A9E"/>
    <w:pPr>
      <w:spacing w:before="100" w:beforeAutospacing="1" w:after="100" w:afterAutospacing="1"/>
    </w:pPr>
    <w:rPr>
      <w:rFonts w:eastAsiaTheme="minorEastAsia"/>
    </w:rPr>
  </w:style>
  <w:style w:type="paragraph" w:styleId="Header">
    <w:name w:val="header"/>
    <w:basedOn w:val="Normal"/>
    <w:link w:val="HeaderChar"/>
    <w:uiPriority w:val="99"/>
    <w:unhideWhenUsed/>
    <w:rsid w:val="00162796"/>
    <w:pPr>
      <w:tabs>
        <w:tab w:val="center" w:pos="4680"/>
        <w:tab w:val="right" w:pos="9360"/>
      </w:tabs>
    </w:pPr>
  </w:style>
  <w:style w:type="character" w:customStyle="1" w:styleId="HeaderChar">
    <w:name w:val="Header Char"/>
    <w:basedOn w:val="DefaultParagraphFont"/>
    <w:link w:val="Header"/>
    <w:uiPriority w:val="99"/>
    <w:rsid w:val="00162796"/>
    <w:rPr>
      <w:sz w:val="24"/>
      <w:szCs w:val="24"/>
    </w:rPr>
  </w:style>
  <w:style w:type="paragraph" w:styleId="FootnoteText">
    <w:name w:val="footnote text"/>
    <w:basedOn w:val="Normal"/>
    <w:link w:val="FootnoteTextChar"/>
    <w:uiPriority w:val="99"/>
    <w:unhideWhenUsed/>
    <w:rsid w:val="00162796"/>
    <w:rPr>
      <w:sz w:val="20"/>
      <w:szCs w:val="20"/>
    </w:rPr>
  </w:style>
  <w:style w:type="character" w:customStyle="1" w:styleId="FootnoteTextChar">
    <w:name w:val="Footnote Text Char"/>
    <w:basedOn w:val="DefaultParagraphFont"/>
    <w:link w:val="FootnoteText"/>
    <w:uiPriority w:val="99"/>
    <w:rsid w:val="00162796"/>
  </w:style>
  <w:style w:type="character" w:styleId="FootnoteReference">
    <w:name w:val="footnote reference"/>
    <w:basedOn w:val="DefaultParagraphFont"/>
    <w:uiPriority w:val="99"/>
    <w:semiHidden/>
    <w:unhideWhenUsed/>
    <w:rsid w:val="00162796"/>
    <w:rPr>
      <w:vertAlign w:val="superscript"/>
    </w:rPr>
  </w:style>
  <w:style w:type="character" w:customStyle="1" w:styleId="citation">
    <w:name w:val="citation"/>
    <w:basedOn w:val="DefaultParagraphFont"/>
    <w:rsid w:val="00540785"/>
  </w:style>
  <w:style w:type="paragraph" w:customStyle="1" w:styleId="xl65">
    <w:name w:val="xl65"/>
    <w:basedOn w:val="Normal"/>
    <w:rsid w:val="00174A0E"/>
    <w:pPr>
      <w:spacing w:before="100" w:beforeAutospacing="1" w:after="100" w:afterAutospacing="1"/>
    </w:pPr>
    <w:rPr>
      <w:sz w:val="18"/>
      <w:szCs w:val="18"/>
    </w:rPr>
  </w:style>
  <w:style w:type="paragraph" w:customStyle="1" w:styleId="xl66">
    <w:name w:val="xl66"/>
    <w:basedOn w:val="Normal"/>
    <w:rsid w:val="00174A0E"/>
    <w:pPr>
      <w:spacing w:before="100" w:beforeAutospacing="1" w:after="100" w:afterAutospacing="1"/>
    </w:pPr>
    <w:rPr>
      <w:sz w:val="18"/>
      <w:szCs w:val="18"/>
    </w:rPr>
  </w:style>
  <w:style w:type="paragraph" w:customStyle="1" w:styleId="xl67">
    <w:name w:val="xl67"/>
    <w:basedOn w:val="Normal"/>
    <w:rsid w:val="00174A0E"/>
    <w:pPr>
      <w:spacing w:before="100" w:beforeAutospacing="1" w:after="100" w:afterAutospacing="1"/>
      <w:jc w:val="right"/>
    </w:pPr>
    <w:rPr>
      <w:sz w:val="16"/>
      <w:szCs w:val="16"/>
    </w:rPr>
  </w:style>
  <w:style w:type="character" w:styleId="CommentReference">
    <w:name w:val="annotation reference"/>
    <w:basedOn w:val="DefaultParagraphFont"/>
    <w:uiPriority w:val="99"/>
    <w:semiHidden/>
    <w:unhideWhenUsed/>
    <w:rsid w:val="00753314"/>
    <w:rPr>
      <w:sz w:val="16"/>
      <w:szCs w:val="16"/>
    </w:rPr>
  </w:style>
  <w:style w:type="paragraph" w:styleId="CommentText">
    <w:name w:val="annotation text"/>
    <w:basedOn w:val="Normal"/>
    <w:link w:val="CommentTextChar"/>
    <w:uiPriority w:val="99"/>
    <w:semiHidden/>
    <w:unhideWhenUsed/>
    <w:rsid w:val="00753314"/>
    <w:rPr>
      <w:sz w:val="20"/>
      <w:szCs w:val="20"/>
    </w:rPr>
  </w:style>
  <w:style w:type="character" w:customStyle="1" w:styleId="CommentTextChar">
    <w:name w:val="Comment Text Char"/>
    <w:basedOn w:val="DefaultParagraphFont"/>
    <w:link w:val="CommentText"/>
    <w:uiPriority w:val="99"/>
    <w:semiHidden/>
    <w:rsid w:val="00753314"/>
  </w:style>
  <w:style w:type="paragraph" w:styleId="CommentSubject">
    <w:name w:val="annotation subject"/>
    <w:basedOn w:val="CommentText"/>
    <w:next w:val="CommentText"/>
    <w:link w:val="CommentSubjectChar"/>
    <w:uiPriority w:val="99"/>
    <w:semiHidden/>
    <w:unhideWhenUsed/>
    <w:rsid w:val="00753314"/>
    <w:rPr>
      <w:b/>
      <w:bCs/>
    </w:rPr>
  </w:style>
  <w:style w:type="character" w:customStyle="1" w:styleId="CommentSubjectChar">
    <w:name w:val="Comment Subject Char"/>
    <w:basedOn w:val="CommentTextChar"/>
    <w:link w:val="CommentSubject"/>
    <w:uiPriority w:val="99"/>
    <w:semiHidden/>
    <w:rsid w:val="00753314"/>
    <w:rPr>
      <w:b/>
      <w:bCs/>
    </w:rPr>
  </w:style>
  <w:style w:type="paragraph" w:styleId="Revision">
    <w:name w:val="Revision"/>
    <w:hidden/>
    <w:uiPriority w:val="99"/>
    <w:semiHidden/>
    <w:rsid w:val="00CF5812"/>
    <w:rPr>
      <w:sz w:val="24"/>
      <w:szCs w:val="24"/>
    </w:rPr>
  </w:style>
  <w:style w:type="character" w:styleId="SubtleEmphasis">
    <w:name w:val="Subtle Emphasis"/>
    <w:basedOn w:val="DefaultParagraphFont"/>
    <w:uiPriority w:val="19"/>
    <w:qFormat/>
    <w:rsid w:val="000E7867"/>
    <w:rPr>
      <w:i/>
      <w:iCs/>
      <w:color w:val="808080" w:themeColor="text1" w:themeTint="7F"/>
    </w:rPr>
  </w:style>
  <w:style w:type="paragraph" w:styleId="EndnoteText">
    <w:name w:val="endnote text"/>
    <w:basedOn w:val="Normal"/>
    <w:link w:val="EndnoteTextChar"/>
    <w:uiPriority w:val="99"/>
    <w:semiHidden/>
    <w:unhideWhenUsed/>
    <w:rsid w:val="00C076A7"/>
    <w:rPr>
      <w:sz w:val="20"/>
      <w:szCs w:val="20"/>
    </w:rPr>
  </w:style>
  <w:style w:type="character" w:customStyle="1" w:styleId="EndnoteTextChar">
    <w:name w:val="Endnote Text Char"/>
    <w:basedOn w:val="DefaultParagraphFont"/>
    <w:link w:val="EndnoteText"/>
    <w:uiPriority w:val="99"/>
    <w:semiHidden/>
    <w:rsid w:val="00C076A7"/>
  </w:style>
  <w:style w:type="character" w:styleId="EndnoteReference">
    <w:name w:val="endnote reference"/>
    <w:basedOn w:val="DefaultParagraphFont"/>
    <w:uiPriority w:val="99"/>
    <w:semiHidden/>
    <w:unhideWhenUsed/>
    <w:rsid w:val="00C076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A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3D8D"/>
    <w:pPr>
      <w:tabs>
        <w:tab w:val="center" w:pos="4320"/>
        <w:tab w:val="right" w:pos="8640"/>
      </w:tabs>
    </w:pPr>
  </w:style>
  <w:style w:type="character" w:customStyle="1" w:styleId="FooterChar">
    <w:name w:val="Footer Char"/>
    <w:basedOn w:val="DefaultParagraphFont"/>
    <w:link w:val="Footer"/>
    <w:uiPriority w:val="99"/>
    <w:rsid w:val="00162796"/>
    <w:rPr>
      <w:sz w:val="24"/>
      <w:szCs w:val="24"/>
    </w:rPr>
  </w:style>
  <w:style w:type="character" w:styleId="PageNumber">
    <w:name w:val="page number"/>
    <w:basedOn w:val="DefaultParagraphFont"/>
    <w:rsid w:val="00233D8D"/>
  </w:style>
  <w:style w:type="paragraph" w:styleId="BalloonText">
    <w:name w:val="Balloon Text"/>
    <w:basedOn w:val="Normal"/>
    <w:link w:val="BalloonTextChar"/>
    <w:uiPriority w:val="99"/>
    <w:semiHidden/>
    <w:unhideWhenUsed/>
    <w:rsid w:val="003B0DA0"/>
    <w:rPr>
      <w:rFonts w:ascii="Tahoma" w:hAnsi="Tahoma" w:cs="Tahoma"/>
      <w:sz w:val="16"/>
      <w:szCs w:val="16"/>
    </w:rPr>
  </w:style>
  <w:style w:type="character" w:customStyle="1" w:styleId="BalloonTextChar">
    <w:name w:val="Balloon Text Char"/>
    <w:basedOn w:val="DefaultParagraphFont"/>
    <w:link w:val="BalloonText"/>
    <w:uiPriority w:val="99"/>
    <w:semiHidden/>
    <w:rsid w:val="003B0DA0"/>
    <w:rPr>
      <w:rFonts w:ascii="Tahoma" w:hAnsi="Tahoma" w:cs="Tahoma"/>
      <w:sz w:val="16"/>
      <w:szCs w:val="16"/>
    </w:rPr>
  </w:style>
  <w:style w:type="paragraph" w:styleId="PlainText">
    <w:name w:val="Plain Text"/>
    <w:basedOn w:val="Normal"/>
    <w:link w:val="PlainTextChar"/>
    <w:uiPriority w:val="99"/>
    <w:unhideWhenUsed/>
    <w:rsid w:val="00BB25A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B25A6"/>
    <w:rPr>
      <w:rFonts w:ascii="Consolas" w:eastAsiaTheme="minorHAnsi" w:hAnsi="Consolas" w:cstheme="minorBidi"/>
      <w:sz w:val="21"/>
      <w:szCs w:val="21"/>
    </w:rPr>
  </w:style>
  <w:style w:type="character" w:styleId="Hyperlink">
    <w:name w:val="Hyperlink"/>
    <w:basedOn w:val="DefaultParagraphFont"/>
    <w:uiPriority w:val="99"/>
    <w:unhideWhenUsed/>
    <w:rsid w:val="00245CB0"/>
    <w:rPr>
      <w:color w:val="0000FF" w:themeColor="hyperlink"/>
      <w:u w:val="single"/>
    </w:rPr>
  </w:style>
  <w:style w:type="character" w:styleId="FollowedHyperlink">
    <w:name w:val="FollowedHyperlink"/>
    <w:basedOn w:val="DefaultParagraphFont"/>
    <w:uiPriority w:val="99"/>
    <w:semiHidden/>
    <w:unhideWhenUsed/>
    <w:rsid w:val="00E1529A"/>
    <w:rPr>
      <w:color w:val="800080" w:themeColor="followedHyperlink"/>
      <w:u w:val="single"/>
    </w:rPr>
  </w:style>
  <w:style w:type="paragraph" w:styleId="ListParagraph">
    <w:name w:val="List Paragraph"/>
    <w:basedOn w:val="Normal"/>
    <w:uiPriority w:val="34"/>
    <w:qFormat/>
    <w:rsid w:val="001B500E"/>
    <w:pPr>
      <w:ind w:left="720"/>
      <w:contextualSpacing/>
    </w:pPr>
  </w:style>
  <w:style w:type="character" w:styleId="PlaceholderText">
    <w:name w:val="Placeholder Text"/>
    <w:basedOn w:val="DefaultParagraphFont"/>
    <w:uiPriority w:val="99"/>
    <w:semiHidden/>
    <w:rsid w:val="001B500E"/>
    <w:rPr>
      <w:color w:val="808080"/>
    </w:rPr>
  </w:style>
  <w:style w:type="paragraph" w:styleId="NormalWeb">
    <w:name w:val="Normal (Web)"/>
    <w:basedOn w:val="Normal"/>
    <w:uiPriority w:val="99"/>
    <w:unhideWhenUsed/>
    <w:rsid w:val="00D74A9E"/>
    <w:pPr>
      <w:spacing w:before="100" w:beforeAutospacing="1" w:after="100" w:afterAutospacing="1"/>
    </w:pPr>
    <w:rPr>
      <w:rFonts w:eastAsiaTheme="minorEastAsia"/>
    </w:rPr>
  </w:style>
  <w:style w:type="paragraph" w:styleId="Header">
    <w:name w:val="header"/>
    <w:basedOn w:val="Normal"/>
    <w:link w:val="HeaderChar"/>
    <w:uiPriority w:val="99"/>
    <w:unhideWhenUsed/>
    <w:rsid w:val="00162796"/>
    <w:pPr>
      <w:tabs>
        <w:tab w:val="center" w:pos="4680"/>
        <w:tab w:val="right" w:pos="9360"/>
      </w:tabs>
    </w:pPr>
  </w:style>
  <w:style w:type="character" w:customStyle="1" w:styleId="HeaderChar">
    <w:name w:val="Header Char"/>
    <w:basedOn w:val="DefaultParagraphFont"/>
    <w:link w:val="Header"/>
    <w:uiPriority w:val="99"/>
    <w:rsid w:val="00162796"/>
    <w:rPr>
      <w:sz w:val="24"/>
      <w:szCs w:val="24"/>
    </w:rPr>
  </w:style>
  <w:style w:type="paragraph" w:styleId="FootnoteText">
    <w:name w:val="footnote text"/>
    <w:basedOn w:val="Normal"/>
    <w:link w:val="FootnoteTextChar"/>
    <w:uiPriority w:val="99"/>
    <w:unhideWhenUsed/>
    <w:rsid w:val="00162796"/>
    <w:rPr>
      <w:sz w:val="20"/>
      <w:szCs w:val="20"/>
    </w:rPr>
  </w:style>
  <w:style w:type="character" w:customStyle="1" w:styleId="FootnoteTextChar">
    <w:name w:val="Footnote Text Char"/>
    <w:basedOn w:val="DefaultParagraphFont"/>
    <w:link w:val="FootnoteText"/>
    <w:uiPriority w:val="99"/>
    <w:rsid w:val="00162796"/>
  </w:style>
  <w:style w:type="character" w:styleId="FootnoteReference">
    <w:name w:val="footnote reference"/>
    <w:basedOn w:val="DefaultParagraphFont"/>
    <w:uiPriority w:val="99"/>
    <w:semiHidden/>
    <w:unhideWhenUsed/>
    <w:rsid w:val="00162796"/>
    <w:rPr>
      <w:vertAlign w:val="superscript"/>
    </w:rPr>
  </w:style>
  <w:style w:type="character" w:customStyle="1" w:styleId="citation">
    <w:name w:val="citation"/>
    <w:basedOn w:val="DefaultParagraphFont"/>
    <w:rsid w:val="00540785"/>
  </w:style>
  <w:style w:type="paragraph" w:customStyle="1" w:styleId="xl65">
    <w:name w:val="xl65"/>
    <w:basedOn w:val="Normal"/>
    <w:rsid w:val="00174A0E"/>
    <w:pPr>
      <w:spacing w:before="100" w:beforeAutospacing="1" w:after="100" w:afterAutospacing="1"/>
    </w:pPr>
    <w:rPr>
      <w:sz w:val="18"/>
      <w:szCs w:val="18"/>
    </w:rPr>
  </w:style>
  <w:style w:type="paragraph" w:customStyle="1" w:styleId="xl66">
    <w:name w:val="xl66"/>
    <w:basedOn w:val="Normal"/>
    <w:rsid w:val="00174A0E"/>
    <w:pPr>
      <w:spacing w:before="100" w:beforeAutospacing="1" w:after="100" w:afterAutospacing="1"/>
    </w:pPr>
    <w:rPr>
      <w:sz w:val="18"/>
      <w:szCs w:val="18"/>
    </w:rPr>
  </w:style>
  <w:style w:type="paragraph" w:customStyle="1" w:styleId="xl67">
    <w:name w:val="xl67"/>
    <w:basedOn w:val="Normal"/>
    <w:rsid w:val="00174A0E"/>
    <w:pPr>
      <w:spacing w:before="100" w:beforeAutospacing="1" w:after="100" w:afterAutospacing="1"/>
      <w:jc w:val="right"/>
    </w:pPr>
    <w:rPr>
      <w:sz w:val="16"/>
      <w:szCs w:val="16"/>
    </w:rPr>
  </w:style>
  <w:style w:type="character" w:styleId="CommentReference">
    <w:name w:val="annotation reference"/>
    <w:basedOn w:val="DefaultParagraphFont"/>
    <w:uiPriority w:val="99"/>
    <w:semiHidden/>
    <w:unhideWhenUsed/>
    <w:rsid w:val="00753314"/>
    <w:rPr>
      <w:sz w:val="16"/>
      <w:szCs w:val="16"/>
    </w:rPr>
  </w:style>
  <w:style w:type="paragraph" w:styleId="CommentText">
    <w:name w:val="annotation text"/>
    <w:basedOn w:val="Normal"/>
    <w:link w:val="CommentTextChar"/>
    <w:uiPriority w:val="99"/>
    <w:semiHidden/>
    <w:unhideWhenUsed/>
    <w:rsid w:val="00753314"/>
    <w:rPr>
      <w:sz w:val="20"/>
      <w:szCs w:val="20"/>
    </w:rPr>
  </w:style>
  <w:style w:type="character" w:customStyle="1" w:styleId="CommentTextChar">
    <w:name w:val="Comment Text Char"/>
    <w:basedOn w:val="DefaultParagraphFont"/>
    <w:link w:val="CommentText"/>
    <w:uiPriority w:val="99"/>
    <w:semiHidden/>
    <w:rsid w:val="00753314"/>
  </w:style>
  <w:style w:type="paragraph" w:styleId="CommentSubject">
    <w:name w:val="annotation subject"/>
    <w:basedOn w:val="CommentText"/>
    <w:next w:val="CommentText"/>
    <w:link w:val="CommentSubjectChar"/>
    <w:uiPriority w:val="99"/>
    <w:semiHidden/>
    <w:unhideWhenUsed/>
    <w:rsid w:val="00753314"/>
    <w:rPr>
      <w:b/>
      <w:bCs/>
    </w:rPr>
  </w:style>
  <w:style w:type="character" w:customStyle="1" w:styleId="CommentSubjectChar">
    <w:name w:val="Comment Subject Char"/>
    <w:basedOn w:val="CommentTextChar"/>
    <w:link w:val="CommentSubject"/>
    <w:uiPriority w:val="99"/>
    <w:semiHidden/>
    <w:rsid w:val="00753314"/>
    <w:rPr>
      <w:b/>
      <w:bCs/>
    </w:rPr>
  </w:style>
  <w:style w:type="paragraph" w:styleId="Revision">
    <w:name w:val="Revision"/>
    <w:hidden/>
    <w:uiPriority w:val="99"/>
    <w:semiHidden/>
    <w:rsid w:val="00CF5812"/>
    <w:rPr>
      <w:sz w:val="24"/>
      <w:szCs w:val="24"/>
    </w:rPr>
  </w:style>
  <w:style w:type="character" w:styleId="SubtleEmphasis">
    <w:name w:val="Subtle Emphasis"/>
    <w:basedOn w:val="DefaultParagraphFont"/>
    <w:uiPriority w:val="19"/>
    <w:qFormat/>
    <w:rsid w:val="000E7867"/>
    <w:rPr>
      <w:i/>
      <w:iCs/>
      <w:color w:val="808080" w:themeColor="text1" w:themeTint="7F"/>
    </w:rPr>
  </w:style>
  <w:style w:type="paragraph" w:styleId="EndnoteText">
    <w:name w:val="endnote text"/>
    <w:basedOn w:val="Normal"/>
    <w:link w:val="EndnoteTextChar"/>
    <w:uiPriority w:val="99"/>
    <w:semiHidden/>
    <w:unhideWhenUsed/>
    <w:rsid w:val="00C076A7"/>
    <w:rPr>
      <w:sz w:val="20"/>
      <w:szCs w:val="20"/>
    </w:rPr>
  </w:style>
  <w:style w:type="character" w:customStyle="1" w:styleId="EndnoteTextChar">
    <w:name w:val="Endnote Text Char"/>
    <w:basedOn w:val="DefaultParagraphFont"/>
    <w:link w:val="EndnoteText"/>
    <w:uiPriority w:val="99"/>
    <w:semiHidden/>
    <w:rsid w:val="00C076A7"/>
  </w:style>
  <w:style w:type="character" w:styleId="EndnoteReference">
    <w:name w:val="endnote reference"/>
    <w:basedOn w:val="DefaultParagraphFont"/>
    <w:uiPriority w:val="99"/>
    <w:semiHidden/>
    <w:unhideWhenUsed/>
    <w:rsid w:val="00C076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308">
      <w:bodyDiv w:val="1"/>
      <w:marLeft w:val="0"/>
      <w:marRight w:val="0"/>
      <w:marTop w:val="0"/>
      <w:marBottom w:val="0"/>
      <w:divBdr>
        <w:top w:val="none" w:sz="0" w:space="0" w:color="auto"/>
        <w:left w:val="none" w:sz="0" w:space="0" w:color="auto"/>
        <w:bottom w:val="none" w:sz="0" w:space="0" w:color="auto"/>
        <w:right w:val="none" w:sz="0" w:space="0" w:color="auto"/>
      </w:divBdr>
    </w:div>
    <w:div w:id="36665071">
      <w:bodyDiv w:val="1"/>
      <w:marLeft w:val="0"/>
      <w:marRight w:val="0"/>
      <w:marTop w:val="0"/>
      <w:marBottom w:val="0"/>
      <w:divBdr>
        <w:top w:val="none" w:sz="0" w:space="0" w:color="auto"/>
        <w:left w:val="none" w:sz="0" w:space="0" w:color="auto"/>
        <w:bottom w:val="none" w:sz="0" w:space="0" w:color="auto"/>
        <w:right w:val="none" w:sz="0" w:space="0" w:color="auto"/>
      </w:divBdr>
    </w:div>
    <w:div w:id="50273663">
      <w:bodyDiv w:val="1"/>
      <w:marLeft w:val="0"/>
      <w:marRight w:val="0"/>
      <w:marTop w:val="0"/>
      <w:marBottom w:val="0"/>
      <w:divBdr>
        <w:top w:val="none" w:sz="0" w:space="0" w:color="auto"/>
        <w:left w:val="none" w:sz="0" w:space="0" w:color="auto"/>
        <w:bottom w:val="none" w:sz="0" w:space="0" w:color="auto"/>
        <w:right w:val="none" w:sz="0" w:space="0" w:color="auto"/>
      </w:divBdr>
    </w:div>
    <w:div w:id="58670919">
      <w:bodyDiv w:val="1"/>
      <w:marLeft w:val="0"/>
      <w:marRight w:val="0"/>
      <w:marTop w:val="0"/>
      <w:marBottom w:val="0"/>
      <w:divBdr>
        <w:top w:val="none" w:sz="0" w:space="0" w:color="auto"/>
        <w:left w:val="none" w:sz="0" w:space="0" w:color="auto"/>
        <w:bottom w:val="none" w:sz="0" w:space="0" w:color="auto"/>
        <w:right w:val="none" w:sz="0" w:space="0" w:color="auto"/>
      </w:divBdr>
    </w:div>
    <w:div w:id="60324628">
      <w:bodyDiv w:val="1"/>
      <w:marLeft w:val="0"/>
      <w:marRight w:val="0"/>
      <w:marTop w:val="0"/>
      <w:marBottom w:val="0"/>
      <w:divBdr>
        <w:top w:val="none" w:sz="0" w:space="0" w:color="auto"/>
        <w:left w:val="none" w:sz="0" w:space="0" w:color="auto"/>
        <w:bottom w:val="none" w:sz="0" w:space="0" w:color="auto"/>
        <w:right w:val="none" w:sz="0" w:space="0" w:color="auto"/>
      </w:divBdr>
    </w:div>
    <w:div w:id="60561896">
      <w:bodyDiv w:val="1"/>
      <w:marLeft w:val="0"/>
      <w:marRight w:val="0"/>
      <w:marTop w:val="0"/>
      <w:marBottom w:val="0"/>
      <w:divBdr>
        <w:top w:val="none" w:sz="0" w:space="0" w:color="auto"/>
        <w:left w:val="none" w:sz="0" w:space="0" w:color="auto"/>
        <w:bottom w:val="none" w:sz="0" w:space="0" w:color="auto"/>
        <w:right w:val="none" w:sz="0" w:space="0" w:color="auto"/>
      </w:divBdr>
    </w:div>
    <w:div w:id="67653240">
      <w:bodyDiv w:val="1"/>
      <w:marLeft w:val="0"/>
      <w:marRight w:val="0"/>
      <w:marTop w:val="0"/>
      <w:marBottom w:val="0"/>
      <w:divBdr>
        <w:top w:val="none" w:sz="0" w:space="0" w:color="auto"/>
        <w:left w:val="none" w:sz="0" w:space="0" w:color="auto"/>
        <w:bottom w:val="none" w:sz="0" w:space="0" w:color="auto"/>
        <w:right w:val="none" w:sz="0" w:space="0" w:color="auto"/>
      </w:divBdr>
    </w:div>
    <w:div w:id="107896875">
      <w:bodyDiv w:val="1"/>
      <w:marLeft w:val="0"/>
      <w:marRight w:val="0"/>
      <w:marTop w:val="0"/>
      <w:marBottom w:val="0"/>
      <w:divBdr>
        <w:top w:val="none" w:sz="0" w:space="0" w:color="auto"/>
        <w:left w:val="none" w:sz="0" w:space="0" w:color="auto"/>
        <w:bottom w:val="none" w:sz="0" w:space="0" w:color="auto"/>
        <w:right w:val="none" w:sz="0" w:space="0" w:color="auto"/>
      </w:divBdr>
    </w:div>
    <w:div w:id="121925886">
      <w:bodyDiv w:val="1"/>
      <w:marLeft w:val="0"/>
      <w:marRight w:val="0"/>
      <w:marTop w:val="0"/>
      <w:marBottom w:val="0"/>
      <w:divBdr>
        <w:top w:val="none" w:sz="0" w:space="0" w:color="auto"/>
        <w:left w:val="none" w:sz="0" w:space="0" w:color="auto"/>
        <w:bottom w:val="none" w:sz="0" w:space="0" w:color="auto"/>
        <w:right w:val="none" w:sz="0" w:space="0" w:color="auto"/>
      </w:divBdr>
    </w:div>
    <w:div w:id="134613910">
      <w:bodyDiv w:val="1"/>
      <w:marLeft w:val="0"/>
      <w:marRight w:val="0"/>
      <w:marTop w:val="0"/>
      <w:marBottom w:val="0"/>
      <w:divBdr>
        <w:top w:val="none" w:sz="0" w:space="0" w:color="auto"/>
        <w:left w:val="none" w:sz="0" w:space="0" w:color="auto"/>
        <w:bottom w:val="none" w:sz="0" w:space="0" w:color="auto"/>
        <w:right w:val="none" w:sz="0" w:space="0" w:color="auto"/>
      </w:divBdr>
    </w:div>
    <w:div w:id="138499991">
      <w:bodyDiv w:val="1"/>
      <w:marLeft w:val="0"/>
      <w:marRight w:val="0"/>
      <w:marTop w:val="0"/>
      <w:marBottom w:val="0"/>
      <w:divBdr>
        <w:top w:val="none" w:sz="0" w:space="0" w:color="auto"/>
        <w:left w:val="none" w:sz="0" w:space="0" w:color="auto"/>
        <w:bottom w:val="none" w:sz="0" w:space="0" w:color="auto"/>
        <w:right w:val="none" w:sz="0" w:space="0" w:color="auto"/>
      </w:divBdr>
    </w:div>
    <w:div w:id="146173565">
      <w:bodyDiv w:val="1"/>
      <w:marLeft w:val="0"/>
      <w:marRight w:val="0"/>
      <w:marTop w:val="0"/>
      <w:marBottom w:val="0"/>
      <w:divBdr>
        <w:top w:val="none" w:sz="0" w:space="0" w:color="auto"/>
        <w:left w:val="none" w:sz="0" w:space="0" w:color="auto"/>
        <w:bottom w:val="none" w:sz="0" w:space="0" w:color="auto"/>
        <w:right w:val="none" w:sz="0" w:space="0" w:color="auto"/>
      </w:divBdr>
    </w:div>
    <w:div w:id="149252890">
      <w:bodyDiv w:val="1"/>
      <w:marLeft w:val="0"/>
      <w:marRight w:val="0"/>
      <w:marTop w:val="0"/>
      <w:marBottom w:val="0"/>
      <w:divBdr>
        <w:top w:val="none" w:sz="0" w:space="0" w:color="auto"/>
        <w:left w:val="none" w:sz="0" w:space="0" w:color="auto"/>
        <w:bottom w:val="none" w:sz="0" w:space="0" w:color="auto"/>
        <w:right w:val="none" w:sz="0" w:space="0" w:color="auto"/>
      </w:divBdr>
    </w:div>
    <w:div w:id="150676865">
      <w:bodyDiv w:val="1"/>
      <w:marLeft w:val="0"/>
      <w:marRight w:val="0"/>
      <w:marTop w:val="0"/>
      <w:marBottom w:val="0"/>
      <w:divBdr>
        <w:top w:val="none" w:sz="0" w:space="0" w:color="auto"/>
        <w:left w:val="none" w:sz="0" w:space="0" w:color="auto"/>
        <w:bottom w:val="none" w:sz="0" w:space="0" w:color="auto"/>
        <w:right w:val="none" w:sz="0" w:space="0" w:color="auto"/>
      </w:divBdr>
    </w:div>
    <w:div w:id="156964612">
      <w:bodyDiv w:val="1"/>
      <w:marLeft w:val="0"/>
      <w:marRight w:val="0"/>
      <w:marTop w:val="0"/>
      <w:marBottom w:val="0"/>
      <w:divBdr>
        <w:top w:val="none" w:sz="0" w:space="0" w:color="auto"/>
        <w:left w:val="none" w:sz="0" w:space="0" w:color="auto"/>
        <w:bottom w:val="none" w:sz="0" w:space="0" w:color="auto"/>
        <w:right w:val="none" w:sz="0" w:space="0" w:color="auto"/>
      </w:divBdr>
    </w:div>
    <w:div w:id="165176285">
      <w:bodyDiv w:val="1"/>
      <w:marLeft w:val="0"/>
      <w:marRight w:val="0"/>
      <w:marTop w:val="0"/>
      <w:marBottom w:val="0"/>
      <w:divBdr>
        <w:top w:val="none" w:sz="0" w:space="0" w:color="auto"/>
        <w:left w:val="none" w:sz="0" w:space="0" w:color="auto"/>
        <w:bottom w:val="none" w:sz="0" w:space="0" w:color="auto"/>
        <w:right w:val="none" w:sz="0" w:space="0" w:color="auto"/>
      </w:divBdr>
    </w:div>
    <w:div w:id="178356007">
      <w:bodyDiv w:val="1"/>
      <w:marLeft w:val="0"/>
      <w:marRight w:val="0"/>
      <w:marTop w:val="0"/>
      <w:marBottom w:val="0"/>
      <w:divBdr>
        <w:top w:val="none" w:sz="0" w:space="0" w:color="auto"/>
        <w:left w:val="none" w:sz="0" w:space="0" w:color="auto"/>
        <w:bottom w:val="none" w:sz="0" w:space="0" w:color="auto"/>
        <w:right w:val="none" w:sz="0" w:space="0" w:color="auto"/>
      </w:divBdr>
    </w:div>
    <w:div w:id="180701388">
      <w:bodyDiv w:val="1"/>
      <w:marLeft w:val="0"/>
      <w:marRight w:val="0"/>
      <w:marTop w:val="0"/>
      <w:marBottom w:val="0"/>
      <w:divBdr>
        <w:top w:val="none" w:sz="0" w:space="0" w:color="auto"/>
        <w:left w:val="none" w:sz="0" w:space="0" w:color="auto"/>
        <w:bottom w:val="none" w:sz="0" w:space="0" w:color="auto"/>
        <w:right w:val="none" w:sz="0" w:space="0" w:color="auto"/>
      </w:divBdr>
    </w:div>
    <w:div w:id="189803019">
      <w:bodyDiv w:val="1"/>
      <w:marLeft w:val="0"/>
      <w:marRight w:val="0"/>
      <w:marTop w:val="0"/>
      <w:marBottom w:val="0"/>
      <w:divBdr>
        <w:top w:val="none" w:sz="0" w:space="0" w:color="auto"/>
        <w:left w:val="none" w:sz="0" w:space="0" w:color="auto"/>
        <w:bottom w:val="none" w:sz="0" w:space="0" w:color="auto"/>
        <w:right w:val="none" w:sz="0" w:space="0" w:color="auto"/>
      </w:divBdr>
    </w:div>
    <w:div w:id="215356244">
      <w:bodyDiv w:val="1"/>
      <w:marLeft w:val="0"/>
      <w:marRight w:val="0"/>
      <w:marTop w:val="0"/>
      <w:marBottom w:val="0"/>
      <w:divBdr>
        <w:top w:val="none" w:sz="0" w:space="0" w:color="auto"/>
        <w:left w:val="none" w:sz="0" w:space="0" w:color="auto"/>
        <w:bottom w:val="none" w:sz="0" w:space="0" w:color="auto"/>
        <w:right w:val="none" w:sz="0" w:space="0" w:color="auto"/>
      </w:divBdr>
    </w:div>
    <w:div w:id="233125707">
      <w:bodyDiv w:val="1"/>
      <w:marLeft w:val="0"/>
      <w:marRight w:val="0"/>
      <w:marTop w:val="0"/>
      <w:marBottom w:val="0"/>
      <w:divBdr>
        <w:top w:val="none" w:sz="0" w:space="0" w:color="auto"/>
        <w:left w:val="none" w:sz="0" w:space="0" w:color="auto"/>
        <w:bottom w:val="none" w:sz="0" w:space="0" w:color="auto"/>
        <w:right w:val="none" w:sz="0" w:space="0" w:color="auto"/>
      </w:divBdr>
    </w:div>
    <w:div w:id="234125287">
      <w:bodyDiv w:val="1"/>
      <w:marLeft w:val="0"/>
      <w:marRight w:val="0"/>
      <w:marTop w:val="0"/>
      <w:marBottom w:val="0"/>
      <w:divBdr>
        <w:top w:val="none" w:sz="0" w:space="0" w:color="auto"/>
        <w:left w:val="none" w:sz="0" w:space="0" w:color="auto"/>
        <w:bottom w:val="none" w:sz="0" w:space="0" w:color="auto"/>
        <w:right w:val="none" w:sz="0" w:space="0" w:color="auto"/>
      </w:divBdr>
    </w:div>
    <w:div w:id="234900746">
      <w:bodyDiv w:val="1"/>
      <w:marLeft w:val="0"/>
      <w:marRight w:val="0"/>
      <w:marTop w:val="0"/>
      <w:marBottom w:val="0"/>
      <w:divBdr>
        <w:top w:val="none" w:sz="0" w:space="0" w:color="auto"/>
        <w:left w:val="none" w:sz="0" w:space="0" w:color="auto"/>
        <w:bottom w:val="none" w:sz="0" w:space="0" w:color="auto"/>
        <w:right w:val="none" w:sz="0" w:space="0" w:color="auto"/>
      </w:divBdr>
    </w:div>
    <w:div w:id="266430722">
      <w:bodyDiv w:val="1"/>
      <w:marLeft w:val="0"/>
      <w:marRight w:val="0"/>
      <w:marTop w:val="0"/>
      <w:marBottom w:val="0"/>
      <w:divBdr>
        <w:top w:val="none" w:sz="0" w:space="0" w:color="auto"/>
        <w:left w:val="none" w:sz="0" w:space="0" w:color="auto"/>
        <w:bottom w:val="none" w:sz="0" w:space="0" w:color="auto"/>
        <w:right w:val="none" w:sz="0" w:space="0" w:color="auto"/>
      </w:divBdr>
    </w:div>
    <w:div w:id="276645665">
      <w:bodyDiv w:val="1"/>
      <w:marLeft w:val="0"/>
      <w:marRight w:val="0"/>
      <w:marTop w:val="0"/>
      <w:marBottom w:val="0"/>
      <w:divBdr>
        <w:top w:val="none" w:sz="0" w:space="0" w:color="auto"/>
        <w:left w:val="none" w:sz="0" w:space="0" w:color="auto"/>
        <w:bottom w:val="none" w:sz="0" w:space="0" w:color="auto"/>
        <w:right w:val="none" w:sz="0" w:space="0" w:color="auto"/>
      </w:divBdr>
    </w:div>
    <w:div w:id="290063594">
      <w:bodyDiv w:val="1"/>
      <w:marLeft w:val="0"/>
      <w:marRight w:val="0"/>
      <w:marTop w:val="0"/>
      <w:marBottom w:val="0"/>
      <w:divBdr>
        <w:top w:val="none" w:sz="0" w:space="0" w:color="auto"/>
        <w:left w:val="none" w:sz="0" w:space="0" w:color="auto"/>
        <w:bottom w:val="none" w:sz="0" w:space="0" w:color="auto"/>
        <w:right w:val="none" w:sz="0" w:space="0" w:color="auto"/>
      </w:divBdr>
    </w:div>
    <w:div w:id="300774403">
      <w:bodyDiv w:val="1"/>
      <w:marLeft w:val="0"/>
      <w:marRight w:val="0"/>
      <w:marTop w:val="0"/>
      <w:marBottom w:val="0"/>
      <w:divBdr>
        <w:top w:val="none" w:sz="0" w:space="0" w:color="auto"/>
        <w:left w:val="none" w:sz="0" w:space="0" w:color="auto"/>
        <w:bottom w:val="none" w:sz="0" w:space="0" w:color="auto"/>
        <w:right w:val="none" w:sz="0" w:space="0" w:color="auto"/>
      </w:divBdr>
    </w:div>
    <w:div w:id="328563985">
      <w:bodyDiv w:val="1"/>
      <w:marLeft w:val="0"/>
      <w:marRight w:val="0"/>
      <w:marTop w:val="0"/>
      <w:marBottom w:val="0"/>
      <w:divBdr>
        <w:top w:val="none" w:sz="0" w:space="0" w:color="auto"/>
        <w:left w:val="none" w:sz="0" w:space="0" w:color="auto"/>
        <w:bottom w:val="none" w:sz="0" w:space="0" w:color="auto"/>
        <w:right w:val="none" w:sz="0" w:space="0" w:color="auto"/>
      </w:divBdr>
    </w:div>
    <w:div w:id="349187942">
      <w:bodyDiv w:val="1"/>
      <w:marLeft w:val="0"/>
      <w:marRight w:val="0"/>
      <w:marTop w:val="0"/>
      <w:marBottom w:val="0"/>
      <w:divBdr>
        <w:top w:val="none" w:sz="0" w:space="0" w:color="auto"/>
        <w:left w:val="none" w:sz="0" w:space="0" w:color="auto"/>
        <w:bottom w:val="none" w:sz="0" w:space="0" w:color="auto"/>
        <w:right w:val="none" w:sz="0" w:space="0" w:color="auto"/>
      </w:divBdr>
    </w:div>
    <w:div w:id="358354769">
      <w:bodyDiv w:val="1"/>
      <w:marLeft w:val="0"/>
      <w:marRight w:val="0"/>
      <w:marTop w:val="0"/>
      <w:marBottom w:val="0"/>
      <w:divBdr>
        <w:top w:val="none" w:sz="0" w:space="0" w:color="auto"/>
        <w:left w:val="none" w:sz="0" w:space="0" w:color="auto"/>
        <w:bottom w:val="none" w:sz="0" w:space="0" w:color="auto"/>
        <w:right w:val="none" w:sz="0" w:space="0" w:color="auto"/>
      </w:divBdr>
    </w:div>
    <w:div w:id="376704953">
      <w:bodyDiv w:val="1"/>
      <w:marLeft w:val="0"/>
      <w:marRight w:val="0"/>
      <w:marTop w:val="0"/>
      <w:marBottom w:val="0"/>
      <w:divBdr>
        <w:top w:val="none" w:sz="0" w:space="0" w:color="auto"/>
        <w:left w:val="none" w:sz="0" w:space="0" w:color="auto"/>
        <w:bottom w:val="none" w:sz="0" w:space="0" w:color="auto"/>
        <w:right w:val="none" w:sz="0" w:space="0" w:color="auto"/>
      </w:divBdr>
    </w:div>
    <w:div w:id="386610811">
      <w:bodyDiv w:val="1"/>
      <w:marLeft w:val="0"/>
      <w:marRight w:val="0"/>
      <w:marTop w:val="0"/>
      <w:marBottom w:val="0"/>
      <w:divBdr>
        <w:top w:val="none" w:sz="0" w:space="0" w:color="auto"/>
        <w:left w:val="none" w:sz="0" w:space="0" w:color="auto"/>
        <w:bottom w:val="none" w:sz="0" w:space="0" w:color="auto"/>
        <w:right w:val="none" w:sz="0" w:space="0" w:color="auto"/>
      </w:divBdr>
    </w:div>
    <w:div w:id="403066477">
      <w:bodyDiv w:val="1"/>
      <w:marLeft w:val="0"/>
      <w:marRight w:val="0"/>
      <w:marTop w:val="0"/>
      <w:marBottom w:val="0"/>
      <w:divBdr>
        <w:top w:val="none" w:sz="0" w:space="0" w:color="auto"/>
        <w:left w:val="none" w:sz="0" w:space="0" w:color="auto"/>
        <w:bottom w:val="none" w:sz="0" w:space="0" w:color="auto"/>
        <w:right w:val="none" w:sz="0" w:space="0" w:color="auto"/>
      </w:divBdr>
    </w:div>
    <w:div w:id="425198902">
      <w:bodyDiv w:val="1"/>
      <w:marLeft w:val="0"/>
      <w:marRight w:val="0"/>
      <w:marTop w:val="0"/>
      <w:marBottom w:val="0"/>
      <w:divBdr>
        <w:top w:val="none" w:sz="0" w:space="0" w:color="auto"/>
        <w:left w:val="none" w:sz="0" w:space="0" w:color="auto"/>
        <w:bottom w:val="none" w:sz="0" w:space="0" w:color="auto"/>
        <w:right w:val="none" w:sz="0" w:space="0" w:color="auto"/>
      </w:divBdr>
    </w:div>
    <w:div w:id="426849867">
      <w:bodyDiv w:val="1"/>
      <w:marLeft w:val="0"/>
      <w:marRight w:val="0"/>
      <w:marTop w:val="0"/>
      <w:marBottom w:val="0"/>
      <w:divBdr>
        <w:top w:val="none" w:sz="0" w:space="0" w:color="auto"/>
        <w:left w:val="none" w:sz="0" w:space="0" w:color="auto"/>
        <w:bottom w:val="none" w:sz="0" w:space="0" w:color="auto"/>
        <w:right w:val="none" w:sz="0" w:space="0" w:color="auto"/>
      </w:divBdr>
    </w:div>
    <w:div w:id="431242487">
      <w:bodyDiv w:val="1"/>
      <w:marLeft w:val="0"/>
      <w:marRight w:val="0"/>
      <w:marTop w:val="0"/>
      <w:marBottom w:val="0"/>
      <w:divBdr>
        <w:top w:val="none" w:sz="0" w:space="0" w:color="auto"/>
        <w:left w:val="none" w:sz="0" w:space="0" w:color="auto"/>
        <w:bottom w:val="none" w:sz="0" w:space="0" w:color="auto"/>
        <w:right w:val="none" w:sz="0" w:space="0" w:color="auto"/>
      </w:divBdr>
    </w:div>
    <w:div w:id="431781599">
      <w:bodyDiv w:val="1"/>
      <w:marLeft w:val="0"/>
      <w:marRight w:val="0"/>
      <w:marTop w:val="0"/>
      <w:marBottom w:val="0"/>
      <w:divBdr>
        <w:top w:val="none" w:sz="0" w:space="0" w:color="auto"/>
        <w:left w:val="none" w:sz="0" w:space="0" w:color="auto"/>
        <w:bottom w:val="none" w:sz="0" w:space="0" w:color="auto"/>
        <w:right w:val="none" w:sz="0" w:space="0" w:color="auto"/>
      </w:divBdr>
    </w:div>
    <w:div w:id="455834917">
      <w:bodyDiv w:val="1"/>
      <w:marLeft w:val="0"/>
      <w:marRight w:val="0"/>
      <w:marTop w:val="0"/>
      <w:marBottom w:val="0"/>
      <w:divBdr>
        <w:top w:val="none" w:sz="0" w:space="0" w:color="auto"/>
        <w:left w:val="none" w:sz="0" w:space="0" w:color="auto"/>
        <w:bottom w:val="none" w:sz="0" w:space="0" w:color="auto"/>
        <w:right w:val="none" w:sz="0" w:space="0" w:color="auto"/>
      </w:divBdr>
    </w:div>
    <w:div w:id="468135788">
      <w:bodyDiv w:val="1"/>
      <w:marLeft w:val="0"/>
      <w:marRight w:val="0"/>
      <w:marTop w:val="0"/>
      <w:marBottom w:val="0"/>
      <w:divBdr>
        <w:top w:val="none" w:sz="0" w:space="0" w:color="auto"/>
        <w:left w:val="none" w:sz="0" w:space="0" w:color="auto"/>
        <w:bottom w:val="none" w:sz="0" w:space="0" w:color="auto"/>
        <w:right w:val="none" w:sz="0" w:space="0" w:color="auto"/>
      </w:divBdr>
    </w:div>
    <w:div w:id="471601996">
      <w:bodyDiv w:val="1"/>
      <w:marLeft w:val="0"/>
      <w:marRight w:val="0"/>
      <w:marTop w:val="0"/>
      <w:marBottom w:val="0"/>
      <w:divBdr>
        <w:top w:val="none" w:sz="0" w:space="0" w:color="auto"/>
        <w:left w:val="none" w:sz="0" w:space="0" w:color="auto"/>
        <w:bottom w:val="none" w:sz="0" w:space="0" w:color="auto"/>
        <w:right w:val="none" w:sz="0" w:space="0" w:color="auto"/>
      </w:divBdr>
    </w:div>
    <w:div w:id="474184830">
      <w:bodyDiv w:val="1"/>
      <w:marLeft w:val="0"/>
      <w:marRight w:val="0"/>
      <w:marTop w:val="0"/>
      <w:marBottom w:val="0"/>
      <w:divBdr>
        <w:top w:val="none" w:sz="0" w:space="0" w:color="auto"/>
        <w:left w:val="none" w:sz="0" w:space="0" w:color="auto"/>
        <w:bottom w:val="none" w:sz="0" w:space="0" w:color="auto"/>
        <w:right w:val="none" w:sz="0" w:space="0" w:color="auto"/>
      </w:divBdr>
    </w:div>
    <w:div w:id="495151703">
      <w:bodyDiv w:val="1"/>
      <w:marLeft w:val="0"/>
      <w:marRight w:val="0"/>
      <w:marTop w:val="0"/>
      <w:marBottom w:val="0"/>
      <w:divBdr>
        <w:top w:val="none" w:sz="0" w:space="0" w:color="auto"/>
        <w:left w:val="none" w:sz="0" w:space="0" w:color="auto"/>
        <w:bottom w:val="none" w:sz="0" w:space="0" w:color="auto"/>
        <w:right w:val="none" w:sz="0" w:space="0" w:color="auto"/>
      </w:divBdr>
    </w:div>
    <w:div w:id="497884799">
      <w:bodyDiv w:val="1"/>
      <w:marLeft w:val="0"/>
      <w:marRight w:val="0"/>
      <w:marTop w:val="0"/>
      <w:marBottom w:val="0"/>
      <w:divBdr>
        <w:top w:val="none" w:sz="0" w:space="0" w:color="auto"/>
        <w:left w:val="none" w:sz="0" w:space="0" w:color="auto"/>
        <w:bottom w:val="none" w:sz="0" w:space="0" w:color="auto"/>
        <w:right w:val="none" w:sz="0" w:space="0" w:color="auto"/>
      </w:divBdr>
    </w:div>
    <w:div w:id="498928263">
      <w:bodyDiv w:val="1"/>
      <w:marLeft w:val="0"/>
      <w:marRight w:val="0"/>
      <w:marTop w:val="0"/>
      <w:marBottom w:val="0"/>
      <w:divBdr>
        <w:top w:val="none" w:sz="0" w:space="0" w:color="auto"/>
        <w:left w:val="none" w:sz="0" w:space="0" w:color="auto"/>
        <w:bottom w:val="none" w:sz="0" w:space="0" w:color="auto"/>
        <w:right w:val="none" w:sz="0" w:space="0" w:color="auto"/>
      </w:divBdr>
    </w:div>
    <w:div w:id="504056324">
      <w:bodyDiv w:val="1"/>
      <w:marLeft w:val="0"/>
      <w:marRight w:val="0"/>
      <w:marTop w:val="0"/>
      <w:marBottom w:val="0"/>
      <w:divBdr>
        <w:top w:val="none" w:sz="0" w:space="0" w:color="auto"/>
        <w:left w:val="none" w:sz="0" w:space="0" w:color="auto"/>
        <w:bottom w:val="none" w:sz="0" w:space="0" w:color="auto"/>
        <w:right w:val="none" w:sz="0" w:space="0" w:color="auto"/>
      </w:divBdr>
    </w:div>
    <w:div w:id="510989781">
      <w:bodyDiv w:val="1"/>
      <w:marLeft w:val="0"/>
      <w:marRight w:val="0"/>
      <w:marTop w:val="0"/>
      <w:marBottom w:val="0"/>
      <w:divBdr>
        <w:top w:val="none" w:sz="0" w:space="0" w:color="auto"/>
        <w:left w:val="none" w:sz="0" w:space="0" w:color="auto"/>
        <w:bottom w:val="none" w:sz="0" w:space="0" w:color="auto"/>
        <w:right w:val="none" w:sz="0" w:space="0" w:color="auto"/>
      </w:divBdr>
    </w:div>
    <w:div w:id="556358170">
      <w:bodyDiv w:val="1"/>
      <w:marLeft w:val="0"/>
      <w:marRight w:val="0"/>
      <w:marTop w:val="0"/>
      <w:marBottom w:val="0"/>
      <w:divBdr>
        <w:top w:val="none" w:sz="0" w:space="0" w:color="auto"/>
        <w:left w:val="none" w:sz="0" w:space="0" w:color="auto"/>
        <w:bottom w:val="none" w:sz="0" w:space="0" w:color="auto"/>
        <w:right w:val="none" w:sz="0" w:space="0" w:color="auto"/>
      </w:divBdr>
    </w:div>
    <w:div w:id="571544961">
      <w:bodyDiv w:val="1"/>
      <w:marLeft w:val="0"/>
      <w:marRight w:val="0"/>
      <w:marTop w:val="0"/>
      <w:marBottom w:val="0"/>
      <w:divBdr>
        <w:top w:val="none" w:sz="0" w:space="0" w:color="auto"/>
        <w:left w:val="none" w:sz="0" w:space="0" w:color="auto"/>
        <w:bottom w:val="none" w:sz="0" w:space="0" w:color="auto"/>
        <w:right w:val="none" w:sz="0" w:space="0" w:color="auto"/>
      </w:divBdr>
    </w:div>
    <w:div w:id="588344586">
      <w:bodyDiv w:val="1"/>
      <w:marLeft w:val="0"/>
      <w:marRight w:val="0"/>
      <w:marTop w:val="0"/>
      <w:marBottom w:val="0"/>
      <w:divBdr>
        <w:top w:val="none" w:sz="0" w:space="0" w:color="auto"/>
        <w:left w:val="none" w:sz="0" w:space="0" w:color="auto"/>
        <w:bottom w:val="none" w:sz="0" w:space="0" w:color="auto"/>
        <w:right w:val="none" w:sz="0" w:space="0" w:color="auto"/>
      </w:divBdr>
    </w:div>
    <w:div w:id="592859320">
      <w:bodyDiv w:val="1"/>
      <w:marLeft w:val="0"/>
      <w:marRight w:val="0"/>
      <w:marTop w:val="0"/>
      <w:marBottom w:val="0"/>
      <w:divBdr>
        <w:top w:val="none" w:sz="0" w:space="0" w:color="auto"/>
        <w:left w:val="none" w:sz="0" w:space="0" w:color="auto"/>
        <w:bottom w:val="none" w:sz="0" w:space="0" w:color="auto"/>
        <w:right w:val="none" w:sz="0" w:space="0" w:color="auto"/>
      </w:divBdr>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916556">
      <w:bodyDiv w:val="1"/>
      <w:marLeft w:val="0"/>
      <w:marRight w:val="0"/>
      <w:marTop w:val="0"/>
      <w:marBottom w:val="0"/>
      <w:divBdr>
        <w:top w:val="none" w:sz="0" w:space="0" w:color="auto"/>
        <w:left w:val="none" w:sz="0" w:space="0" w:color="auto"/>
        <w:bottom w:val="none" w:sz="0" w:space="0" w:color="auto"/>
        <w:right w:val="none" w:sz="0" w:space="0" w:color="auto"/>
      </w:divBdr>
    </w:div>
    <w:div w:id="612786162">
      <w:bodyDiv w:val="1"/>
      <w:marLeft w:val="0"/>
      <w:marRight w:val="0"/>
      <w:marTop w:val="0"/>
      <w:marBottom w:val="0"/>
      <w:divBdr>
        <w:top w:val="none" w:sz="0" w:space="0" w:color="auto"/>
        <w:left w:val="none" w:sz="0" w:space="0" w:color="auto"/>
        <w:bottom w:val="none" w:sz="0" w:space="0" w:color="auto"/>
        <w:right w:val="none" w:sz="0" w:space="0" w:color="auto"/>
      </w:divBdr>
    </w:div>
    <w:div w:id="623778242">
      <w:bodyDiv w:val="1"/>
      <w:marLeft w:val="0"/>
      <w:marRight w:val="0"/>
      <w:marTop w:val="0"/>
      <w:marBottom w:val="0"/>
      <w:divBdr>
        <w:top w:val="none" w:sz="0" w:space="0" w:color="auto"/>
        <w:left w:val="none" w:sz="0" w:space="0" w:color="auto"/>
        <w:bottom w:val="none" w:sz="0" w:space="0" w:color="auto"/>
        <w:right w:val="none" w:sz="0" w:space="0" w:color="auto"/>
      </w:divBdr>
    </w:div>
    <w:div w:id="626862756">
      <w:bodyDiv w:val="1"/>
      <w:marLeft w:val="0"/>
      <w:marRight w:val="0"/>
      <w:marTop w:val="0"/>
      <w:marBottom w:val="0"/>
      <w:divBdr>
        <w:top w:val="none" w:sz="0" w:space="0" w:color="auto"/>
        <w:left w:val="none" w:sz="0" w:space="0" w:color="auto"/>
        <w:bottom w:val="none" w:sz="0" w:space="0" w:color="auto"/>
        <w:right w:val="none" w:sz="0" w:space="0" w:color="auto"/>
      </w:divBdr>
    </w:div>
    <w:div w:id="662469277">
      <w:bodyDiv w:val="1"/>
      <w:marLeft w:val="0"/>
      <w:marRight w:val="0"/>
      <w:marTop w:val="0"/>
      <w:marBottom w:val="0"/>
      <w:divBdr>
        <w:top w:val="none" w:sz="0" w:space="0" w:color="auto"/>
        <w:left w:val="none" w:sz="0" w:space="0" w:color="auto"/>
        <w:bottom w:val="none" w:sz="0" w:space="0" w:color="auto"/>
        <w:right w:val="none" w:sz="0" w:space="0" w:color="auto"/>
      </w:divBdr>
    </w:div>
    <w:div w:id="662703164">
      <w:bodyDiv w:val="1"/>
      <w:marLeft w:val="0"/>
      <w:marRight w:val="0"/>
      <w:marTop w:val="0"/>
      <w:marBottom w:val="0"/>
      <w:divBdr>
        <w:top w:val="none" w:sz="0" w:space="0" w:color="auto"/>
        <w:left w:val="none" w:sz="0" w:space="0" w:color="auto"/>
        <w:bottom w:val="none" w:sz="0" w:space="0" w:color="auto"/>
        <w:right w:val="none" w:sz="0" w:space="0" w:color="auto"/>
      </w:divBdr>
    </w:div>
    <w:div w:id="688719130">
      <w:bodyDiv w:val="1"/>
      <w:marLeft w:val="0"/>
      <w:marRight w:val="0"/>
      <w:marTop w:val="0"/>
      <w:marBottom w:val="0"/>
      <w:divBdr>
        <w:top w:val="none" w:sz="0" w:space="0" w:color="auto"/>
        <w:left w:val="none" w:sz="0" w:space="0" w:color="auto"/>
        <w:bottom w:val="none" w:sz="0" w:space="0" w:color="auto"/>
        <w:right w:val="none" w:sz="0" w:space="0" w:color="auto"/>
      </w:divBdr>
    </w:div>
    <w:div w:id="713895071">
      <w:bodyDiv w:val="1"/>
      <w:marLeft w:val="0"/>
      <w:marRight w:val="0"/>
      <w:marTop w:val="0"/>
      <w:marBottom w:val="0"/>
      <w:divBdr>
        <w:top w:val="none" w:sz="0" w:space="0" w:color="auto"/>
        <w:left w:val="none" w:sz="0" w:space="0" w:color="auto"/>
        <w:bottom w:val="none" w:sz="0" w:space="0" w:color="auto"/>
        <w:right w:val="none" w:sz="0" w:space="0" w:color="auto"/>
      </w:divBdr>
    </w:div>
    <w:div w:id="721829074">
      <w:bodyDiv w:val="1"/>
      <w:marLeft w:val="0"/>
      <w:marRight w:val="0"/>
      <w:marTop w:val="0"/>
      <w:marBottom w:val="0"/>
      <w:divBdr>
        <w:top w:val="none" w:sz="0" w:space="0" w:color="auto"/>
        <w:left w:val="none" w:sz="0" w:space="0" w:color="auto"/>
        <w:bottom w:val="none" w:sz="0" w:space="0" w:color="auto"/>
        <w:right w:val="none" w:sz="0" w:space="0" w:color="auto"/>
      </w:divBdr>
    </w:div>
    <w:div w:id="729619080">
      <w:bodyDiv w:val="1"/>
      <w:marLeft w:val="0"/>
      <w:marRight w:val="0"/>
      <w:marTop w:val="0"/>
      <w:marBottom w:val="0"/>
      <w:divBdr>
        <w:top w:val="none" w:sz="0" w:space="0" w:color="auto"/>
        <w:left w:val="none" w:sz="0" w:space="0" w:color="auto"/>
        <w:bottom w:val="none" w:sz="0" w:space="0" w:color="auto"/>
        <w:right w:val="none" w:sz="0" w:space="0" w:color="auto"/>
      </w:divBdr>
    </w:div>
    <w:div w:id="745762704">
      <w:bodyDiv w:val="1"/>
      <w:marLeft w:val="0"/>
      <w:marRight w:val="0"/>
      <w:marTop w:val="0"/>
      <w:marBottom w:val="0"/>
      <w:divBdr>
        <w:top w:val="none" w:sz="0" w:space="0" w:color="auto"/>
        <w:left w:val="none" w:sz="0" w:space="0" w:color="auto"/>
        <w:bottom w:val="none" w:sz="0" w:space="0" w:color="auto"/>
        <w:right w:val="none" w:sz="0" w:space="0" w:color="auto"/>
      </w:divBdr>
    </w:div>
    <w:div w:id="768817425">
      <w:bodyDiv w:val="1"/>
      <w:marLeft w:val="0"/>
      <w:marRight w:val="0"/>
      <w:marTop w:val="0"/>
      <w:marBottom w:val="0"/>
      <w:divBdr>
        <w:top w:val="none" w:sz="0" w:space="0" w:color="auto"/>
        <w:left w:val="none" w:sz="0" w:space="0" w:color="auto"/>
        <w:bottom w:val="none" w:sz="0" w:space="0" w:color="auto"/>
        <w:right w:val="none" w:sz="0" w:space="0" w:color="auto"/>
      </w:divBdr>
    </w:div>
    <w:div w:id="789861705">
      <w:bodyDiv w:val="1"/>
      <w:marLeft w:val="0"/>
      <w:marRight w:val="0"/>
      <w:marTop w:val="0"/>
      <w:marBottom w:val="0"/>
      <w:divBdr>
        <w:top w:val="none" w:sz="0" w:space="0" w:color="auto"/>
        <w:left w:val="none" w:sz="0" w:space="0" w:color="auto"/>
        <w:bottom w:val="none" w:sz="0" w:space="0" w:color="auto"/>
        <w:right w:val="none" w:sz="0" w:space="0" w:color="auto"/>
      </w:divBdr>
    </w:div>
    <w:div w:id="799611094">
      <w:bodyDiv w:val="1"/>
      <w:marLeft w:val="0"/>
      <w:marRight w:val="0"/>
      <w:marTop w:val="0"/>
      <w:marBottom w:val="0"/>
      <w:divBdr>
        <w:top w:val="none" w:sz="0" w:space="0" w:color="auto"/>
        <w:left w:val="none" w:sz="0" w:space="0" w:color="auto"/>
        <w:bottom w:val="none" w:sz="0" w:space="0" w:color="auto"/>
        <w:right w:val="none" w:sz="0" w:space="0" w:color="auto"/>
      </w:divBdr>
    </w:div>
    <w:div w:id="808399673">
      <w:bodyDiv w:val="1"/>
      <w:marLeft w:val="0"/>
      <w:marRight w:val="0"/>
      <w:marTop w:val="0"/>
      <w:marBottom w:val="0"/>
      <w:divBdr>
        <w:top w:val="none" w:sz="0" w:space="0" w:color="auto"/>
        <w:left w:val="none" w:sz="0" w:space="0" w:color="auto"/>
        <w:bottom w:val="none" w:sz="0" w:space="0" w:color="auto"/>
        <w:right w:val="none" w:sz="0" w:space="0" w:color="auto"/>
      </w:divBdr>
    </w:div>
    <w:div w:id="815873261">
      <w:bodyDiv w:val="1"/>
      <w:marLeft w:val="0"/>
      <w:marRight w:val="0"/>
      <w:marTop w:val="0"/>
      <w:marBottom w:val="0"/>
      <w:divBdr>
        <w:top w:val="none" w:sz="0" w:space="0" w:color="auto"/>
        <w:left w:val="none" w:sz="0" w:space="0" w:color="auto"/>
        <w:bottom w:val="none" w:sz="0" w:space="0" w:color="auto"/>
        <w:right w:val="none" w:sz="0" w:space="0" w:color="auto"/>
      </w:divBdr>
    </w:div>
    <w:div w:id="822283402">
      <w:bodyDiv w:val="1"/>
      <w:marLeft w:val="0"/>
      <w:marRight w:val="0"/>
      <w:marTop w:val="0"/>
      <w:marBottom w:val="0"/>
      <w:divBdr>
        <w:top w:val="none" w:sz="0" w:space="0" w:color="auto"/>
        <w:left w:val="none" w:sz="0" w:space="0" w:color="auto"/>
        <w:bottom w:val="none" w:sz="0" w:space="0" w:color="auto"/>
        <w:right w:val="none" w:sz="0" w:space="0" w:color="auto"/>
      </w:divBdr>
    </w:div>
    <w:div w:id="829324410">
      <w:bodyDiv w:val="1"/>
      <w:marLeft w:val="0"/>
      <w:marRight w:val="0"/>
      <w:marTop w:val="0"/>
      <w:marBottom w:val="0"/>
      <w:divBdr>
        <w:top w:val="none" w:sz="0" w:space="0" w:color="auto"/>
        <w:left w:val="none" w:sz="0" w:space="0" w:color="auto"/>
        <w:bottom w:val="none" w:sz="0" w:space="0" w:color="auto"/>
        <w:right w:val="none" w:sz="0" w:space="0" w:color="auto"/>
      </w:divBdr>
    </w:div>
    <w:div w:id="840853739">
      <w:bodyDiv w:val="1"/>
      <w:marLeft w:val="0"/>
      <w:marRight w:val="0"/>
      <w:marTop w:val="0"/>
      <w:marBottom w:val="0"/>
      <w:divBdr>
        <w:top w:val="none" w:sz="0" w:space="0" w:color="auto"/>
        <w:left w:val="none" w:sz="0" w:space="0" w:color="auto"/>
        <w:bottom w:val="none" w:sz="0" w:space="0" w:color="auto"/>
        <w:right w:val="none" w:sz="0" w:space="0" w:color="auto"/>
      </w:divBdr>
    </w:div>
    <w:div w:id="851144074">
      <w:bodyDiv w:val="1"/>
      <w:marLeft w:val="0"/>
      <w:marRight w:val="0"/>
      <w:marTop w:val="0"/>
      <w:marBottom w:val="0"/>
      <w:divBdr>
        <w:top w:val="none" w:sz="0" w:space="0" w:color="auto"/>
        <w:left w:val="none" w:sz="0" w:space="0" w:color="auto"/>
        <w:bottom w:val="none" w:sz="0" w:space="0" w:color="auto"/>
        <w:right w:val="none" w:sz="0" w:space="0" w:color="auto"/>
      </w:divBdr>
    </w:div>
    <w:div w:id="870268807">
      <w:bodyDiv w:val="1"/>
      <w:marLeft w:val="0"/>
      <w:marRight w:val="0"/>
      <w:marTop w:val="0"/>
      <w:marBottom w:val="0"/>
      <w:divBdr>
        <w:top w:val="none" w:sz="0" w:space="0" w:color="auto"/>
        <w:left w:val="none" w:sz="0" w:space="0" w:color="auto"/>
        <w:bottom w:val="none" w:sz="0" w:space="0" w:color="auto"/>
        <w:right w:val="none" w:sz="0" w:space="0" w:color="auto"/>
      </w:divBdr>
    </w:div>
    <w:div w:id="890534883">
      <w:bodyDiv w:val="1"/>
      <w:marLeft w:val="0"/>
      <w:marRight w:val="0"/>
      <w:marTop w:val="0"/>
      <w:marBottom w:val="0"/>
      <w:divBdr>
        <w:top w:val="none" w:sz="0" w:space="0" w:color="auto"/>
        <w:left w:val="none" w:sz="0" w:space="0" w:color="auto"/>
        <w:bottom w:val="none" w:sz="0" w:space="0" w:color="auto"/>
        <w:right w:val="none" w:sz="0" w:space="0" w:color="auto"/>
      </w:divBdr>
    </w:div>
    <w:div w:id="890652085">
      <w:bodyDiv w:val="1"/>
      <w:marLeft w:val="0"/>
      <w:marRight w:val="0"/>
      <w:marTop w:val="0"/>
      <w:marBottom w:val="0"/>
      <w:divBdr>
        <w:top w:val="none" w:sz="0" w:space="0" w:color="auto"/>
        <w:left w:val="none" w:sz="0" w:space="0" w:color="auto"/>
        <w:bottom w:val="none" w:sz="0" w:space="0" w:color="auto"/>
        <w:right w:val="none" w:sz="0" w:space="0" w:color="auto"/>
      </w:divBdr>
    </w:div>
    <w:div w:id="910769999">
      <w:bodyDiv w:val="1"/>
      <w:marLeft w:val="0"/>
      <w:marRight w:val="0"/>
      <w:marTop w:val="0"/>
      <w:marBottom w:val="0"/>
      <w:divBdr>
        <w:top w:val="none" w:sz="0" w:space="0" w:color="auto"/>
        <w:left w:val="none" w:sz="0" w:space="0" w:color="auto"/>
        <w:bottom w:val="none" w:sz="0" w:space="0" w:color="auto"/>
        <w:right w:val="none" w:sz="0" w:space="0" w:color="auto"/>
      </w:divBdr>
    </w:div>
    <w:div w:id="918909554">
      <w:bodyDiv w:val="1"/>
      <w:marLeft w:val="0"/>
      <w:marRight w:val="0"/>
      <w:marTop w:val="0"/>
      <w:marBottom w:val="0"/>
      <w:divBdr>
        <w:top w:val="none" w:sz="0" w:space="0" w:color="auto"/>
        <w:left w:val="none" w:sz="0" w:space="0" w:color="auto"/>
        <w:bottom w:val="none" w:sz="0" w:space="0" w:color="auto"/>
        <w:right w:val="none" w:sz="0" w:space="0" w:color="auto"/>
      </w:divBdr>
    </w:div>
    <w:div w:id="926185971">
      <w:bodyDiv w:val="1"/>
      <w:marLeft w:val="0"/>
      <w:marRight w:val="0"/>
      <w:marTop w:val="0"/>
      <w:marBottom w:val="0"/>
      <w:divBdr>
        <w:top w:val="none" w:sz="0" w:space="0" w:color="auto"/>
        <w:left w:val="none" w:sz="0" w:space="0" w:color="auto"/>
        <w:bottom w:val="none" w:sz="0" w:space="0" w:color="auto"/>
        <w:right w:val="none" w:sz="0" w:space="0" w:color="auto"/>
      </w:divBdr>
    </w:div>
    <w:div w:id="944388110">
      <w:bodyDiv w:val="1"/>
      <w:marLeft w:val="0"/>
      <w:marRight w:val="0"/>
      <w:marTop w:val="0"/>
      <w:marBottom w:val="0"/>
      <w:divBdr>
        <w:top w:val="none" w:sz="0" w:space="0" w:color="auto"/>
        <w:left w:val="none" w:sz="0" w:space="0" w:color="auto"/>
        <w:bottom w:val="none" w:sz="0" w:space="0" w:color="auto"/>
        <w:right w:val="none" w:sz="0" w:space="0" w:color="auto"/>
      </w:divBdr>
    </w:div>
    <w:div w:id="953369770">
      <w:bodyDiv w:val="1"/>
      <w:marLeft w:val="0"/>
      <w:marRight w:val="0"/>
      <w:marTop w:val="0"/>
      <w:marBottom w:val="0"/>
      <w:divBdr>
        <w:top w:val="none" w:sz="0" w:space="0" w:color="auto"/>
        <w:left w:val="none" w:sz="0" w:space="0" w:color="auto"/>
        <w:bottom w:val="none" w:sz="0" w:space="0" w:color="auto"/>
        <w:right w:val="none" w:sz="0" w:space="0" w:color="auto"/>
      </w:divBdr>
    </w:div>
    <w:div w:id="971904394">
      <w:bodyDiv w:val="1"/>
      <w:marLeft w:val="0"/>
      <w:marRight w:val="0"/>
      <w:marTop w:val="0"/>
      <w:marBottom w:val="0"/>
      <w:divBdr>
        <w:top w:val="none" w:sz="0" w:space="0" w:color="auto"/>
        <w:left w:val="none" w:sz="0" w:space="0" w:color="auto"/>
        <w:bottom w:val="none" w:sz="0" w:space="0" w:color="auto"/>
        <w:right w:val="none" w:sz="0" w:space="0" w:color="auto"/>
      </w:divBdr>
    </w:div>
    <w:div w:id="976105614">
      <w:bodyDiv w:val="1"/>
      <w:marLeft w:val="0"/>
      <w:marRight w:val="0"/>
      <w:marTop w:val="0"/>
      <w:marBottom w:val="0"/>
      <w:divBdr>
        <w:top w:val="none" w:sz="0" w:space="0" w:color="auto"/>
        <w:left w:val="none" w:sz="0" w:space="0" w:color="auto"/>
        <w:bottom w:val="none" w:sz="0" w:space="0" w:color="auto"/>
        <w:right w:val="none" w:sz="0" w:space="0" w:color="auto"/>
      </w:divBdr>
    </w:div>
    <w:div w:id="984310645">
      <w:bodyDiv w:val="1"/>
      <w:marLeft w:val="0"/>
      <w:marRight w:val="0"/>
      <w:marTop w:val="0"/>
      <w:marBottom w:val="0"/>
      <w:divBdr>
        <w:top w:val="none" w:sz="0" w:space="0" w:color="auto"/>
        <w:left w:val="none" w:sz="0" w:space="0" w:color="auto"/>
        <w:bottom w:val="none" w:sz="0" w:space="0" w:color="auto"/>
        <w:right w:val="none" w:sz="0" w:space="0" w:color="auto"/>
      </w:divBdr>
    </w:div>
    <w:div w:id="989552640">
      <w:bodyDiv w:val="1"/>
      <w:marLeft w:val="0"/>
      <w:marRight w:val="0"/>
      <w:marTop w:val="0"/>
      <w:marBottom w:val="0"/>
      <w:divBdr>
        <w:top w:val="none" w:sz="0" w:space="0" w:color="auto"/>
        <w:left w:val="none" w:sz="0" w:space="0" w:color="auto"/>
        <w:bottom w:val="none" w:sz="0" w:space="0" w:color="auto"/>
        <w:right w:val="none" w:sz="0" w:space="0" w:color="auto"/>
      </w:divBdr>
    </w:div>
    <w:div w:id="1006980811">
      <w:bodyDiv w:val="1"/>
      <w:marLeft w:val="0"/>
      <w:marRight w:val="0"/>
      <w:marTop w:val="0"/>
      <w:marBottom w:val="0"/>
      <w:divBdr>
        <w:top w:val="none" w:sz="0" w:space="0" w:color="auto"/>
        <w:left w:val="none" w:sz="0" w:space="0" w:color="auto"/>
        <w:bottom w:val="none" w:sz="0" w:space="0" w:color="auto"/>
        <w:right w:val="none" w:sz="0" w:space="0" w:color="auto"/>
      </w:divBdr>
    </w:div>
    <w:div w:id="1016149571">
      <w:bodyDiv w:val="1"/>
      <w:marLeft w:val="0"/>
      <w:marRight w:val="0"/>
      <w:marTop w:val="0"/>
      <w:marBottom w:val="0"/>
      <w:divBdr>
        <w:top w:val="none" w:sz="0" w:space="0" w:color="auto"/>
        <w:left w:val="none" w:sz="0" w:space="0" w:color="auto"/>
        <w:bottom w:val="none" w:sz="0" w:space="0" w:color="auto"/>
        <w:right w:val="none" w:sz="0" w:space="0" w:color="auto"/>
      </w:divBdr>
    </w:div>
    <w:div w:id="1016929179">
      <w:bodyDiv w:val="1"/>
      <w:marLeft w:val="0"/>
      <w:marRight w:val="0"/>
      <w:marTop w:val="0"/>
      <w:marBottom w:val="0"/>
      <w:divBdr>
        <w:top w:val="none" w:sz="0" w:space="0" w:color="auto"/>
        <w:left w:val="none" w:sz="0" w:space="0" w:color="auto"/>
        <w:bottom w:val="none" w:sz="0" w:space="0" w:color="auto"/>
        <w:right w:val="none" w:sz="0" w:space="0" w:color="auto"/>
      </w:divBdr>
    </w:div>
    <w:div w:id="1028533084">
      <w:bodyDiv w:val="1"/>
      <w:marLeft w:val="0"/>
      <w:marRight w:val="0"/>
      <w:marTop w:val="0"/>
      <w:marBottom w:val="0"/>
      <w:divBdr>
        <w:top w:val="none" w:sz="0" w:space="0" w:color="auto"/>
        <w:left w:val="none" w:sz="0" w:space="0" w:color="auto"/>
        <w:bottom w:val="none" w:sz="0" w:space="0" w:color="auto"/>
        <w:right w:val="none" w:sz="0" w:space="0" w:color="auto"/>
      </w:divBdr>
    </w:div>
    <w:div w:id="1028726672">
      <w:bodyDiv w:val="1"/>
      <w:marLeft w:val="0"/>
      <w:marRight w:val="0"/>
      <w:marTop w:val="0"/>
      <w:marBottom w:val="0"/>
      <w:divBdr>
        <w:top w:val="none" w:sz="0" w:space="0" w:color="auto"/>
        <w:left w:val="none" w:sz="0" w:space="0" w:color="auto"/>
        <w:bottom w:val="none" w:sz="0" w:space="0" w:color="auto"/>
        <w:right w:val="none" w:sz="0" w:space="0" w:color="auto"/>
      </w:divBdr>
    </w:div>
    <w:div w:id="1031227195">
      <w:bodyDiv w:val="1"/>
      <w:marLeft w:val="0"/>
      <w:marRight w:val="0"/>
      <w:marTop w:val="0"/>
      <w:marBottom w:val="0"/>
      <w:divBdr>
        <w:top w:val="none" w:sz="0" w:space="0" w:color="auto"/>
        <w:left w:val="none" w:sz="0" w:space="0" w:color="auto"/>
        <w:bottom w:val="none" w:sz="0" w:space="0" w:color="auto"/>
        <w:right w:val="none" w:sz="0" w:space="0" w:color="auto"/>
      </w:divBdr>
    </w:div>
    <w:div w:id="1036664381">
      <w:bodyDiv w:val="1"/>
      <w:marLeft w:val="0"/>
      <w:marRight w:val="0"/>
      <w:marTop w:val="0"/>
      <w:marBottom w:val="0"/>
      <w:divBdr>
        <w:top w:val="none" w:sz="0" w:space="0" w:color="auto"/>
        <w:left w:val="none" w:sz="0" w:space="0" w:color="auto"/>
        <w:bottom w:val="none" w:sz="0" w:space="0" w:color="auto"/>
        <w:right w:val="none" w:sz="0" w:space="0" w:color="auto"/>
      </w:divBdr>
    </w:div>
    <w:div w:id="1051416665">
      <w:bodyDiv w:val="1"/>
      <w:marLeft w:val="0"/>
      <w:marRight w:val="0"/>
      <w:marTop w:val="0"/>
      <w:marBottom w:val="0"/>
      <w:divBdr>
        <w:top w:val="none" w:sz="0" w:space="0" w:color="auto"/>
        <w:left w:val="none" w:sz="0" w:space="0" w:color="auto"/>
        <w:bottom w:val="none" w:sz="0" w:space="0" w:color="auto"/>
        <w:right w:val="none" w:sz="0" w:space="0" w:color="auto"/>
      </w:divBdr>
    </w:div>
    <w:div w:id="1080715362">
      <w:bodyDiv w:val="1"/>
      <w:marLeft w:val="0"/>
      <w:marRight w:val="0"/>
      <w:marTop w:val="0"/>
      <w:marBottom w:val="0"/>
      <w:divBdr>
        <w:top w:val="none" w:sz="0" w:space="0" w:color="auto"/>
        <w:left w:val="none" w:sz="0" w:space="0" w:color="auto"/>
        <w:bottom w:val="none" w:sz="0" w:space="0" w:color="auto"/>
        <w:right w:val="none" w:sz="0" w:space="0" w:color="auto"/>
      </w:divBdr>
    </w:div>
    <w:div w:id="1089346496">
      <w:bodyDiv w:val="1"/>
      <w:marLeft w:val="0"/>
      <w:marRight w:val="0"/>
      <w:marTop w:val="0"/>
      <w:marBottom w:val="0"/>
      <w:divBdr>
        <w:top w:val="none" w:sz="0" w:space="0" w:color="auto"/>
        <w:left w:val="none" w:sz="0" w:space="0" w:color="auto"/>
        <w:bottom w:val="none" w:sz="0" w:space="0" w:color="auto"/>
        <w:right w:val="none" w:sz="0" w:space="0" w:color="auto"/>
      </w:divBdr>
    </w:div>
    <w:div w:id="1095829806">
      <w:bodyDiv w:val="1"/>
      <w:marLeft w:val="0"/>
      <w:marRight w:val="0"/>
      <w:marTop w:val="0"/>
      <w:marBottom w:val="0"/>
      <w:divBdr>
        <w:top w:val="none" w:sz="0" w:space="0" w:color="auto"/>
        <w:left w:val="none" w:sz="0" w:space="0" w:color="auto"/>
        <w:bottom w:val="none" w:sz="0" w:space="0" w:color="auto"/>
        <w:right w:val="none" w:sz="0" w:space="0" w:color="auto"/>
      </w:divBdr>
    </w:div>
    <w:div w:id="1096099769">
      <w:bodyDiv w:val="1"/>
      <w:marLeft w:val="0"/>
      <w:marRight w:val="0"/>
      <w:marTop w:val="0"/>
      <w:marBottom w:val="0"/>
      <w:divBdr>
        <w:top w:val="none" w:sz="0" w:space="0" w:color="auto"/>
        <w:left w:val="none" w:sz="0" w:space="0" w:color="auto"/>
        <w:bottom w:val="none" w:sz="0" w:space="0" w:color="auto"/>
        <w:right w:val="none" w:sz="0" w:space="0" w:color="auto"/>
      </w:divBdr>
    </w:div>
    <w:div w:id="1106273668">
      <w:bodyDiv w:val="1"/>
      <w:marLeft w:val="0"/>
      <w:marRight w:val="0"/>
      <w:marTop w:val="0"/>
      <w:marBottom w:val="0"/>
      <w:divBdr>
        <w:top w:val="none" w:sz="0" w:space="0" w:color="auto"/>
        <w:left w:val="none" w:sz="0" w:space="0" w:color="auto"/>
        <w:bottom w:val="none" w:sz="0" w:space="0" w:color="auto"/>
        <w:right w:val="none" w:sz="0" w:space="0" w:color="auto"/>
      </w:divBdr>
    </w:div>
    <w:div w:id="1120681594">
      <w:bodyDiv w:val="1"/>
      <w:marLeft w:val="0"/>
      <w:marRight w:val="0"/>
      <w:marTop w:val="0"/>
      <w:marBottom w:val="0"/>
      <w:divBdr>
        <w:top w:val="none" w:sz="0" w:space="0" w:color="auto"/>
        <w:left w:val="none" w:sz="0" w:space="0" w:color="auto"/>
        <w:bottom w:val="none" w:sz="0" w:space="0" w:color="auto"/>
        <w:right w:val="none" w:sz="0" w:space="0" w:color="auto"/>
      </w:divBdr>
    </w:div>
    <w:div w:id="1123770595">
      <w:bodyDiv w:val="1"/>
      <w:marLeft w:val="0"/>
      <w:marRight w:val="0"/>
      <w:marTop w:val="0"/>
      <w:marBottom w:val="0"/>
      <w:divBdr>
        <w:top w:val="none" w:sz="0" w:space="0" w:color="auto"/>
        <w:left w:val="none" w:sz="0" w:space="0" w:color="auto"/>
        <w:bottom w:val="none" w:sz="0" w:space="0" w:color="auto"/>
        <w:right w:val="none" w:sz="0" w:space="0" w:color="auto"/>
      </w:divBdr>
    </w:div>
    <w:div w:id="1124425776">
      <w:bodyDiv w:val="1"/>
      <w:marLeft w:val="0"/>
      <w:marRight w:val="0"/>
      <w:marTop w:val="0"/>
      <w:marBottom w:val="0"/>
      <w:divBdr>
        <w:top w:val="none" w:sz="0" w:space="0" w:color="auto"/>
        <w:left w:val="none" w:sz="0" w:space="0" w:color="auto"/>
        <w:bottom w:val="none" w:sz="0" w:space="0" w:color="auto"/>
        <w:right w:val="none" w:sz="0" w:space="0" w:color="auto"/>
      </w:divBdr>
    </w:div>
    <w:div w:id="1130632955">
      <w:bodyDiv w:val="1"/>
      <w:marLeft w:val="0"/>
      <w:marRight w:val="0"/>
      <w:marTop w:val="0"/>
      <w:marBottom w:val="0"/>
      <w:divBdr>
        <w:top w:val="none" w:sz="0" w:space="0" w:color="auto"/>
        <w:left w:val="none" w:sz="0" w:space="0" w:color="auto"/>
        <w:bottom w:val="none" w:sz="0" w:space="0" w:color="auto"/>
        <w:right w:val="none" w:sz="0" w:space="0" w:color="auto"/>
      </w:divBdr>
    </w:div>
    <w:div w:id="1139952587">
      <w:bodyDiv w:val="1"/>
      <w:marLeft w:val="0"/>
      <w:marRight w:val="0"/>
      <w:marTop w:val="0"/>
      <w:marBottom w:val="0"/>
      <w:divBdr>
        <w:top w:val="none" w:sz="0" w:space="0" w:color="auto"/>
        <w:left w:val="none" w:sz="0" w:space="0" w:color="auto"/>
        <w:bottom w:val="none" w:sz="0" w:space="0" w:color="auto"/>
        <w:right w:val="none" w:sz="0" w:space="0" w:color="auto"/>
      </w:divBdr>
    </w:div>
    <w:div w:id="1147436638">
      <w:bodyDiv w:val="1"/>
      <w:marLeft w:val="0"/>
      <w:marRight w:val="0"/>
      <w:marTop w:val="0"/>
      <w:marBottom w:val="0"/>
      <w:divBdr>
        <w:top w:val="none" w:sz="0" w:space="0" w:color="auto"/>
        <w:left w:val="none" w:sz="0" w:space="0" w:color="auto"/>
        <w:bottom w:val="none" w:sz="0" w:space="0" w:color="auto"/>
        <w:right w:val="none" w:sz="0" w:space="0" w:color="auto"/>
      </w:divBdr>
    </w:div>
    <w:div w:id="1149134806">
      <w:bodyDiv w:val="1"/>
      <w:marLeft w:val="0"/>
      <w:marRight w:val="0"/>
      <w:marTop w:val="0"/>
      <w:marBottom w:val="0"/>
      <w:divBdr>
        <w:top w:val="none" w:sz="0" w:space="0" w:color="auto"/>
        <w:left w:val="none" w:sz="0" w:space="0" w:color="auto"/>
        <w:bottom w:val="none" w:sz="0" w:space="0" w:color="auto"/>
        <w:right w:val="none" w:sz="0" w:space="0" w:color="auto"/>
      </w:divBdr>
    </w:div>
    <w:div w:id="1169442260">
      <w:bodyDiv w:val="1"/>
      <w:marLeft w:val="0"/>
      <w:marRight w:val="0"/>
      <w:marTop w:val="0"/>
      <w:marBottom w:val="0"/>
      <w:divBdr>
        <w:top w:val="none" w:sz="0" w:space="0" w:color="auto"/>
        <w:left w:val="none" w:sz="0" w:space="0" w:color="auto"/>
        <w:bottom w:val="none" w:sz="0" w:space="0" w:color="auto"/>
        <w:right w:val="none" w:sz="0" w:space="0" w:color="auto"/>
      </w:divBdr>
    </w:div>
    <w:div w:id="1173489162">
      <w:bodyDiv w:val="1"/>
      <w:marLeft w:val="0"/>
      <w:marRight w:val="0"/>
      <w:marTop w:val="0"/>
      <w:marBottom w:val="0"/>
      <w:divBdr>
        <w:top w:val="none" w:sz="0" w:space="0" w:color="auto"/>
        <w:left w:val="none" w:sz="0" w:space="0" w:color="auto"/>
        <w:bottom w:val="none" w:sz="0" w:space="0" w:color="auto"/>
        <w:right w:val="none" w:sz="0" w:space="0" w:color="auto"/>
      </w:divBdr>
    </w:div>
    <w:div w:id="1220360578">
      <w:bodyDiv w:val="1"/>
      <w:marLeft w:val="0"/>
      <w:marRight w:val="0"/>
      <w:marTop w:val="0"/>
      <w:marBottom w:val="0"/>
      <w:divBdr>
        <w:top w:val="none" w:sz="0" w:space="0" w:color="auto"/>
        <w:left w:val="none" w:sz="0" w:space="0" w:color="auto"/>
        <w:bottom w:val="none" w:sz="0" w:space="0" w:color="auto"/>
        <w:right w:val="none" w:sz="0" w:space="0" w:color="auto"/>
      </w:divBdr>
    </w:div>
    <w:div w:id="1227840957">
      <w:bodyDiv w:val="1"/>
      <w:marLeft w:val="0"/>
      <w:marRight w:val="0"/>
      <w:marTop w:val="0"/>
      <w:marBottom w:val="0"/>
      <w:divBdr>
        <w:top w:val="none" w:sz="0" w:space="0" w:color="auto"/>
        <w:left w:val="none" w:sz="0" w:space="0" w:color="auto"/>
        <w:bottom w:val="none" w:sz="0" w:space="0" w:color="auto"/>
        <w:right w:val="none" w:sz="0" w:space="0" w:color="auto"/>
      </w:divBdr>
    </w:div>
    <w:div w:id="1240410643">
      <w:bodyDiv w:val="1"/>
      <w:marLeft w:val="0"/>
      <w:marRight w:val="0"/>
      <w:marTop w:val="0"/>
      <w:marBottom w:val="0"/>
      <w:divBdr>
        <w:top w:val="none" w:sz="0" w:space="0" w:color="auto"/>
        <w:left w:val="none" w:sz="0" w:space="0" w:color="auto"/>
        <w:bottom w:val="none" w:sz="0" w:space="0" w:color="auto"/>
        <w:right w:val="none" w:sz="0" w:space="0" w:color="auto"/>
      </w:divBdr>
    </w:div>
    <w:div w:id="1241988685">
      <w:bodyDiv w:val="1"/>
      <w:marLeft w:val="0"/>
      <w:marRight w:val="0"/>
      <w:marTop w:val="0"/>
      <w:marBottom w:val="0"/>
      <w:divBdr>
        <w:top w:val="none" w:sz="0" w:space="0" w:color="auto"/>
        <w:left w:val="none" w:sz="0" w:space="0" w:color="auto"/>
        <w:bottom w:val="none" w:sz="0" w:space="0" w:color="auto"/>
        <w:right w:val="none" w:sz="0" w:space="0" w:color="auto"/>
      </w:divBdr>
    </w:div>
    <w:div w:id="1244948254">
      <w:bodyDiv w:val="1"/>
      <w:marLeft w:val="0"/>
      <w:marRight w:val="0"/>
      <w:marTop w:val="0"/>
      <w:marBottom w:val="0"/>
      <w:divBdr>
        <w:top w:val="none" w:sz="0" w:space="0" w:color="auto"/>
        <w:left w:val="none" w:sz="0" w:space="0" w:color="auto"/>
        <w:bottom w:val="none" w:sz="0" w:space="0" w:color="auto"/>
        <w:right w:val="none" w:sz="0" w:space="0" w:color="auto"/>
      </w:divBdr>
    </w:div>
    <w:div w:id="1250848709">
      <w:bodyDiv w:val="1"/>
      <w:marLeft w:val="0"/>
      <w:marRight w:val="0"/>
      <w:marTop w:val="0"/>
      <w:marBottom w:val="0"/>
      <w:divBdr>
        <w:top w:val="none" w:sz="0" w:space="0" w:color="auto"/>
        <w:left w:val="none" w:sz="0" w:space="0" w:color="auto"/>
        <w:bottom w:val="none" w:sz="0" w:space="0" w:color="auto"/>
        <w:right w:val="none" w:sz="0" w:space="0" w:color="auto"/>
      </w:divBdr>
    </w:div>
    <w:div w:id="1254632445">
      <w:bodyDiv w:val="1"/>
      <w:marLeft w:val="0"/>
      <w:marRight w:val="0"/>
      <w:marTop w:val="0"/>
      <w:marBottom w:val="0"/>
      <w:divBdr>
        <w:top w:val="none" w:sz="0" w:space="0" w:color="auto"/>
        <w:left w:val="none" w:sz="0" w:space="0" w:color="auto"/>
        <w:bottom w:val="none" w:sz="0" w:space="0" w:color="auto"/>
        <w:right w:val="none" w:sz="0" w:space="0" w:color="auto"/>
      </w:divBdr>
    </w:div>
    <w:div w:id="1257402162">
      <w:bodyDiv w:val="1"/>
      <w:marLeft w:val="0"/>
      <w:marRight w:val="0"/>
      <w:marTop w:val="0"/>
      <w:marBottom w:val="0"/>
      <w:divBdr>
        <w:top w:val="none" w:sz="0" w:space="0" w:color="auto"/>
        <w:left w:val="none" w:sz="0" w:space="0" w:color="auto"/>
        <w:bottom w:val="none" w:sz="0" w:space="0" w:color="auto"/>
        <w:right w:val="none" w:sz="0" w:space="0" w:color="auto"/>
      </w:divBdr>
    </w:div>
    <w:div w:id="1267615747">
      <w:bodyDiv w:val="1"/>
      <w:marLeft w:val="0"/>
      <w:marRight w:val="0"/>
      <w:marTop w:val="0"/>
      <w:marBottom w:val="0"/>
      <w:divBdr>
        <w:top w:val="none" w:sz="0" w:space="0" w:color="auto"/>
        <w:left w:val="none" w:sz="0" w:space="0" w:color="auto"/>
        <w:bottom w:val="none" w:sz="0" w:space="0" w:color="auto"/>
        <w:right w:val="none" w:sz="0" w:space="0" w:color="auto"/>
      </w:divBdr>
    </w:div>
    <w:div w:id="1273049178">
      <w:bodyDiv w:val="1"/>
      <w:marLeft w:val="0"/>
      <w:marRight w:val="0"/>
      <w:marTop w:val="0"/>
      <w:marBottom w:val="0"/>
      <w:divBdr>
        <w:top w:val="none" w:sz="0" w:space="0" w:color="auto"/>
        <w:left w:val="none" w:sz="0" w:space="0" w:color="auto"/>
        <w:bottom w:val="none" w:sz="0" w:space="0" w:color="auto"/>
        <w:right w:val="none" w:sz="0" w:space="0" w:color="auto"/>
      </w:divBdr>
    </w:div>
    <w:div w:id="1280646830">
      <w:bodyDiv w:val="1"/>
      <w:marLeft w:val="0"/>
      <w:marRight w:val="0"/>
      <w:marTop w:val="0"/>
      <w:marBottom w:val="0"/>
      <w:divBdr>
        <w:top w:val="none" w:sz="0" w:space="0" w:color="auto"/>
        <w:left w:val="none" w:sz="0" w:space="0" w:color="auto"/>
        <w:bottom w:val="none" w:sz="0" w:space="0" w:color="auto"/>
        <w:right w:val="none" w:sz="0" w:space="0" w:color="auto"/>
      </w:divBdr>
    </w:div>
    <w:div w:id="1289048975">
      <w:bodyDiv w:val="1"/>
      <w:marLeft w:val="0"/>
      <w:marRight w:val="0"/>
      <w:marTop w:val="0"/>
      <w:marBottom w:val="0"/>
      <w:divBdr>
        <w:top w:val="none" w:sz="0" w:space="0" w:color="auto"/>
        <w:left w:val="none" w:sz="0" w:space="0" w:color="auto"/>
        <w:bottom w:val="none" w:sz="0" w:space="0" w:color="auto"/>
        <w:right w:val="none" w:sz="0" w:space="0" w:color="auto"/>
      </w:divBdr>
    </w:div>
    <w:div w:id="1311522342">
      <w:bodyDiv w:val="1"/>
      <w:marLeft w:val="0"/>
      <w:marRight w:val="0"/>
      <w:marTop w:val="0"/>
      <w:marBottom w:val="0"/>
      <w:divBdr>
        <w:top w:val="none" w:sz="0" w:space="0" w:color="auto"/>
        <w:left w:val="none" w:sz="0" w:space="0" w:color="auto"/>
        <w:bottom w:val="none" w:sz="0" w:space="0" w:color="auto"/>
        <w:right w:val="none" w:sz="0" w:space="0" w:color="auto"/>
      </w:divBdr>
    </w:div>
    <w:div w:id="1330449106">
      <w:bodyDiv w:val="1"/>
      <w:marLeft w:val="0"/>
      <w:marRight w:val="0"/>
      <w:marTop w:val="0"/>
      <w:marBottom w:val="0"/>
      <w:divBdr>
        <w:top w:val="none" w:sz="0" w:space="0" w:color="auto"/>
        <w:left w:val="none" w:sz="0" w:space="0" w:color="auto"/>
        <w:bottom w:val="none" w:sz="0" w:space="0" w:color="auto"/>
        <w:right w:val="none" w:sz="0" w:space="0" w:color="auto"/>
      </w:divBdr>
    </w:div>
    <w:div w:id="1336151007">
      <w:bodyDiv w:val="1"/>
      <w:marLeft w:val="0"/>
      <w:marRight w:val="0"/>
      <w:marTop w:val="0"/>
      <w:marBottom w:val="0"/>
      <w:divBdr>
        <w:top w:val="none" w:sz="0" w:space="0" w:color="auto"/>
        <w:left w:val="none" w:sz="0" w:space="0" w:color="auto"/>
        <w:bottom w:val="none" w:sz="0" w:space="0" w:color="auto"/>
        <w:right w:val="none" w:sz="0" w:space="0" w:color="auto"/>
      </w:divBdr>
    </w:div>
    <w:div w:id="1336374927">
      <w:bodyDiv w:val="1"/>
      <w:marLeft w:val="0"/>
      <w:marRight w:val="0"/>
      <w:marTop w:val="0"/>
      <w:marBottom w:val="0"/>
      <w:divBdr>
        <w:top w:val="none" w:sz="0" w:space="0" w:color="auto"/>
        <w:left w:val="none" w:sz="0" w:space="0" w:color="auto"/>
        <w:bottom w:val="none" w:sz="0" w:space="0" w:color="auto"/>
        <w:right w:val="none" w:sz="0" w:space="0" w:color="auto"/>
      </w:divBdr>
    </w:div>
    <w:div w:id="1337655776">
      <w:bodyDiv w:val="1"/>
      <w:marLeft w:val="0"/>
      <w:marRight w:val="0"/>
      <w:marTop w:val="0"/>
      <w:marBottom w:val="0"/>
      <w:divBdr>
        <w:top w:val="none" w:sz="0" w:space="0" w:color="auto"/>
        <w:left w:val="none" w:sz="0" w:space="0" w:color="auto"/>
        <w:bottom w:val="none" w:sz="0" w:space="0" w:color="auto"/>
        <w:right w:val="none" w:sz="0" w:space="0" w:color="auto"/>
      </w:divBdr>
    </w:div>
    <w:div w:id="1343167042">
      <w:bodyDiv w:val="1"/>
      <w:marLeft w:val="0"/>
      <w:marRight w:val="0"/>
      <w:marTop w:val="0"/>
      <w:marBottom w:val="0"/>
      <w:divBdr>
        <w:top w:val="none" w:sz="0" w:space="0" w:color="auto"/>
        <w:left w:val="none" w:sz="0" w:space="0" w:color="auto"/>
        <w:bottom w:val="none" w:sz="0" w:space="0" w:color="auto"/>
        <w:right w:val="none" w:sz="0" w:space="0" w:color="auto"/>
      </w:divBdr>
    </w:div>
    <w:div w:id="1346902095">
      <w:bodyDiv w:val="1"/>
      <w:marLeft w:val="0"/>
      <w:marRight w:val="0"/>
      <w:marTop w:val="0"/>
      <w:marBottom w:val="0"/>
      <w:divBdr>
        <w:top w:val="none" w:sz="0" w:space="0" w:color="auto"/>
        <w:left w:val="none" w:sz="0" w:space="0" w:color="auto"/>
        <w:bottom w:val="none" w:sz="0" w:space="0" w:color="auto"/>
        <w:right w:val="none" w:sz="0" w:space="0" w:color="auto"/>
      </w:divBdr>
    </w:div>
    <w:div w:id="1354065232">
      <w:bodyDiv w:val="1"/>
      <w:marLeft w:val="0"/>
      <w:marRight w:val="0"/>
      <w:marTop w:val="0"/>
      <w:marBottom w:val="0"/>
      <w:divBdr>
        <w:top w:val="none" w:sz="0" w:space="0" w:color="auto"/>
        <w:left w:val="none" w:sz="0" w:space="0" w:color="auto"/>
        <w:bottom w:val="none" w:sz="0" w:space="0" w:color="auto"/>
        <w:right w:val="none" w:sz="0" w:space="0" w:color="auto"/>
      </w:divBdr>
    </w:div>
    <w:div w:id="1357922129">
      <w:bodyDiv w:val="1"/>
      <w:marLeft w:val="0"/>
      <w:marRight w:val="0"/>
      <w:marTop w:val="0"/>
      <w:marBottom w:val="0"/>
      <w:divBdr>
        <w:top w:val="none" w:sz="0" w:space="0" w:color="auto"/>
        <w:left w:val="none" w:sz="0" w:space="0" w:color="auto"/>
        <w:bottom w:val="none" w:sz="0" w:space="0" w:color="auto"/>
        <w:right w:val="none" w:sz="0" w:space="0" w:color="auto"/>
      </w:divBdr>
    </w:div>
    <w:div w:id="1389457449">
      <w:bodyDiv w:val="1"/>
      <w:marLeft w:val="0"/>
      <w:marRight w:val="0"/>
      <w:marTop w:val="0"/>
      <w:marBottom w:val="0"/>
      <w:divBdr>
        <w:top w:val="none" w:sz="0" w:space="0" w:color="auto"/>
        <w:left w:val="none" w:sz="0" w:space="0" w:color="auto"/>
        <w:bottom w:val="none" w:sz="0" w:space="0" w:color="auto"/>
        <w:right w:val="none" w:sz="0" w:space="0" w:color="auto"/>
      </w:divBdr>
    </w:div>
    <w:div w:id="1403944411">
      <w:bodyDiv w:val="1"/>
      <w:marLeft w:val="0"/>
      <w:marRight w:val="0"/>
      <w:marTop w:val="0"/>
      <w:marBottom w:val="0"/>
      <w:divBdr>
        <w:top w:val="none" w:sz="0" w:space="0" w:color="auto"/>
        <w:left w:val="none" w:sz="0" w:space="0" w:color="auto"/>
        <w:bottom w:val="none" w:sz="0" w:space="0" w:color="auto"/>
        <w:right w:val="none" w:sz="0" w:space="0" w:color="auto"/>
      </w:divBdr>
    </w:div>
    <w:div w:id="1409300666">
      <w:bodyDiv w:val="1"/>
      <w:marLeft w:val="0"/>
      <w:marRight w:val="0"/>
      <w:marTop w:val="0"/>
      <w:marBottom w:val="0"/>
      <w:divBdr>
        <w:top w:val="none" w:sz="0" w:space="0" w:color="auto"/>
        <w:left w:val="none" w:sz="0" w:space="0" w:color="auto"/>
        <w:bottom w:val="none" w:sz="0" w:space="0" w:color="auto"/>
        <w:right w:val="none" w:sz="0" w:space="0" w:color="auto"/>
      </w:divBdr>
    </w:div>
    <w:div w:id="1420054827">
      <w:bodyDiv w:val="1"/>
      <w:marLeft w:val="0"/>
      <w:marRight w:val="0"/>
      <w:marTop w:val="0"/>
      <w:marBottom w:val="0"/>
      <w:divBdr>
        <w:top w:val="none" w:sz="0" w:space="0" w:color="auto"/>
        <w:left w:val="none" w:sz="0" w:space="0" w:color="auto"/>
        <w:bottom w:val="none" w:sz="0" w:space="0" w:color="auto"/>
        <w:right w:val="none" w:sz="0" w:space="0" w:color="auto"/>
      </w:divBdr>
    </w:div>
    <w:div w:id="1424498025">
      <w:bodyDiv w:val="1"/>
      <w:marLeft w:val="0"/>
      <w:marRight w:val="0"/>
      <w:marTop w:val="0"/>
      <w:marBottom w:val="0"/>
      <w:divBdr>
        <w:top w:val="none" w:sz="0" w:space="0" w:color="auto"/>
        <w:left w:val="none" w:sz="0" w:space="0" w:color="auto"/>
        <w:bottom w:val="none" w:sz="0" w:space="0" w:color="auto"/>
        <w:right w:val="none" w:sz="0" w:space="0" w:color="auto"/>
      </w:divBdr>
    </w:div>
    <w:div w:id="1458723834">
      <w:bodyDiv w:val="1"/>
      <w:marLeft w:val="0"/>
      <w:marRight w:val="0"/>
      <w:marTop w:val="0"/>
      <w:marBottom w:val="0"/>
      <w:divBdr>
        <w:top w:val="none" w:sz="0" w:space="0" w:color="auto"/>
        <w:left w:val="none" w:sz="0" w:space="0" w:color="auto"/>
        <w:bottom w:val="none" w:sz="0" w:space="0" w:color="auto"/>
        <w:right w:val="none" w:sz="0" w:space="0" w:color="auto"/>
      </w:divBdr>
    </w:div>
    <w:div w:id="1489127046">
      <w:bodyDiv w:val="1"/>
      <w:marLeft w:val="0"/>
      <w:marRight w:val="0"/>
      <w:marTop w:val="0"/>
      <w:marBottom w:val="0"/>
      <w:divBdr>
        <w:top w:val="none" w:sz="0" w:space="0" w:color="auto"/>
        <w:left w:val="none" w:sz="0" w:space="0" w:color="auto"/>
        <w:bottom w:val="none" w:sz="0" w:space="0" w:color="auto"/>
        <w:right w:val="none" w:sz="0" w:space="0" w:color="auto"/>
      </w:divBdr>
    </w:div>
    <w:div w:id="1495686608">
      <w:bodyDiv w:val="1"/>
      <w:marLeft w:val="0"/>
      <w:marRight w:val="0"/>
      <w:marTop w:val="0"/>
      <w:marBottom w:val="0"/>
      <w:divBdr>
        <w:top w:val="none" w:sz="0" w:space="0" w:color="auto"/>
        <w:left w:val="none" w:sz="0" w:space="0" w:color="auto"/>
        <w:bottom w:val="none" w:sz="0" w:space="0" w:color="auto"/>
        <w:right w:val="none" w:sz="0" w:space="0" w:color="auto"/>
      </w:divBdr>
    </w:div>
    <w:div w:id="1514805199">
      <w:bodyDiv w:val="1"/>
      <w:marLeft w:val="0"/>
      <w:marRight w:val="0"/>
      <w:marTop w:val="0"/>
      <w:marBottom w:val="0"/>
      <w:divBdr>
        <w:top w:val="none" w:sz="0" w:space="0" w:color="auto"/>
        <w:left w:val="none" w:sz="0" w:space="0" w:color="auto"/>
        <w:bottom w:val="none" w:sz="0" w:space="0" w:color="auto"/>
        <w:right w:val="none" w:sz="0" w:space="0" w:color="auto"/>
      </w:divBdr>
    </w:div>
    <w:div w:id="1526819880">
      <w:bodyDiv w:val="1"/>
      <w:marLeft w:val="0"/>
      <w:marRight w:val="0"/>
      <w:marTop w:val="0"/>
      <w:marBottom w:val="0"/>
      <w:divBdr>
        <w:top w:val="none" w:sz="0" w:space="0" w:color="auto"/>
        <w:left w:val="none" w:sz="0" w:space="0" w:color="auto"/>
        <w:bottom w:val="none" w:sz="0" w:space="0" w:color="auto"/>
        <w:right w:val="none" w:sz="0" w:space="0" w:color="auto"/>
      </w:divBdr>
    </w:div>
    <w:div w:id="1537692005">
      <w:bodyDiv w:val="1"/>
      <w:marLeft w:val="0"/>
      <w:marRight w:val="0"/>
      <w:marTop w:val="0"/>
      <w:marBottom w:val="0"/>
      <w:divBdr>
        <w:top w:val="none" w:sz="0" w:space="0" w:color="auto"/>
        <w:left w:val="none" w:sz="0" w:space="0" w:color="auto"/>
        <w:bottom w:val="none" w:sz="0" w:space="0" w:color="auto"/>
        <w:right w:val="none" w:sz="0" w:space="0" w:color="auto"/>
      </w:divBdr>
    </w:div>
    <w:div w:id="1546721902">
      <w:bodyDiv w:val="1"/>
      <w:marLeft w:val="0"/>
      <w:marRight w:val="0"/>
      <w:marTop w:val="0"/>
      <w:marBottom w:val="0"/>
      <w:divBdr>
        <w:top w:val="none" w:sz="0" w:space="0" w:color="auto"/>
        <w:left w:val="none" w:sz="0" w:space="0" w:color="auto"/>
        <w:bottom w:val="none" w:sz="0" w:space="0" w:color="auto"/>
        <w:right w:val="none" w:sz="0" w:space="0" w:color="auto"/>
      </w:divBdr>
    </w:div>
    <w:div w:id="1547983191">
      <w:bodyDiv w:val="1"/>
      <w:marLeft w:val="0"/>
      <w:marRight w:val="0"/>
      <w:marTop w:val="0"/>
      <w:marBottom w:val="0"/>
      <w:divBdr>
        <w:top w:val="none" w:sz="0" w:space="0" w:color="auto"/>
        <w:left w:val="none" w:sz="0" w:space="0" w:color="auto"/>
        <w:bottom w:val="none" w:sz="0" w:space="0" w:color="auto"/>
        <w:right w:val="none" w:sz="0" w:space="0" w:color="auto"/>
      </w:divBdr>
    </w:div>
    <w:div w:id="1562059891">
      <w:bodyDiv w:val="1"/>
      <w:marLeft w:val="0"/>
      <w:marRight w:val="0"/>
      <w:marTop w:val="0"/>
      <w:marBottom w:val="0"/>
      <w:divBdr>
        <w:top w:val="none" w:sz="0" w:space="0" w:color="auto"/>
        <w:left w:val="none" w:sz="0" w:space="0" w:color="auto"/>
        <w:bottom w:val="none" w:sz="0" w:space="0" w:color="auto"/>
        <w:right w:val="none" w:sz="0" w:space="0" w:color="auto"/>
      </w:divBdr>
    </w:div>
    <w:div w:id="1623726177">
      <w:bodyDiv w:val="1"/>
      <w:marLeft w:val="0"/>
      <w:marRight w:val="0"/>
      <w:marTop w:val="0"/>
      <w:marBottom w:val="0"/>
      <w:divBdr>
        <w:top w:val="none" w:sz="0" w:space="0" w:color="auto"/>
        <w:left w:val="none" w:sz="0" w:space="0" w:color="auto"/>
        <w:bottom w:val="none" w:sz="0" w:space="0" w:color="auto"/>
        <w:right w:val="none" w:sz="0" w:space="0" w:color="auto"/>
      </w:divBdr>
    </w:div>
    <w:div w:id="1637833570">
      <w:bodyDiv w:val="1"/>
      <w:marLeft w:val="0"/>
      <w:marRight w:val="0"/>
      <w:marTop w:val="0"/>
      <w:marBottom w:val="0"/>
      <w:divBdr>
        <w:top w:val="none" w:sz="0" w:space="0" w:color="auto"/>
        <w:left w:val="none" w:sz="0" w:space="0" w:color="auto"/>
        <w:bottom w:val="none" w:sz="0" w:space="0" w:color="auto"/>
        <w:right w:val="none" w:sz="0" w:space="0" w:color="auto"/>
      </w:divBdr>
    </w:div>
    <w:div w:id="1644962312">
      <w:bodyDiv w:val="1"/>
      <w:marLeft w:val="0"/>
      <w:marRight w:val="0"/>
      <w:marTop w:val="0"/>
      <w:marBottom w:val="0"/>
      <w:divBdr>
        <w:top w:val="none" w:sz="0" w:space="0" w:color="auto"/>
        <w:left w:val="none" w:sz="0" w:space="0" w:color="auto"/>
        <w:bottom w:val="none" w:sz="0" w:space="0" w:color="auto"/>
        <w:right w:val="none" w:sz="0" w:space="0" w:color="auto"/>
      </w:divBdr>
    </w:div>
    <w:div w:id="1681200194">
      <w:bodyDiv w:val="1"/>
      <w:marLeft w:val="0"/>
      <w:marRight w:val="0"/>
      <w:marTop w:val="0"/>
      <w:marBottom w:val="0"/>
      <w:divBdr>
        <w:top w:val="none" w:sz="0" w:space="0" w:color="auto"/>
        <w:left w:val="none" w:sz="0" w:space="0" w:color="auto"/>
        <w:bottom w:val="none" w:sz="0" w:space="0" w:color="auto"/>
        <w:right w:val="none" w:sz="0" w:space="0" w:color="auto"/>
      </w:divBdr>
    </w:div>
    <w:div w:id="1681659409">
      <w:bodyDiv w:val="1"/>
      <w:marLeft w:val="0"/>
      <w:marRight w:val="0"/>
      <w:marTop w:val="0"/>
      <w:marBottom w:val="0"/>
      <w:divBdr>
        <w:top w:val="none" w:sz="0" w:space="0" w:color="auto"/>
        <w:left w:val="none" w:sz="0" w:space="0" w:color="auto"/>
        <w:bottom w:val="none" w:sz="0" w:space="0" w:color="auto"/>
        <w:right w:val="none" w:sz="0" w:space="0" w:color="auto"/>
      </w:divBdr>
    </w:div>
    <w:div w:id="1687906927">
      <w:bodyDiv w:val="1"/>
      <w:marLeft w:val="0"/>
      <w:marRight w:val="0"/>
      <w:marTop w:val="0"/>
      <w:marBottom w:val="0"/>
      <w:divBdr>
        <w:top w:val="none" w:sz="0" w:space="0" w:color="auto"/>
        <w:left w:val="none" w:sz="0" w:space="0" w:color="auto"/>
        <w:bottom w:val="none" w:sz="0" w:space="0" w:color="auto"/>
        <w:right w:val="none" w:sz="0" w:space="0" w:color="auto"/>
      </w:divBdr>
    </w:div>
    <w:div w:id="1709256488">
      <w:bodyDiv w:val="1"/>
      <w:marLeft w:val="0"/>
      <w:marRight w:val="0"/>
      <w:marTop w:val="0"/>
      <w:marBottom w:val="0"/>
      <w:divBdr>
        <w:top w:val="none" w:sz="0" w:space="0" w:color="auto"/>
        <w:left w:val="none" w:sz="0" w:space="0" w:color="auto"/>
        <w:bottom w:val="none" w:sz="0" w:space="0" w:color="auto"/>
        <w:right w:val="none" w:sz="0" w:space="0" w:color="auto"/>
      </w:divBdr>
    </w:div>
    <w:div w:id="1712342021">
      <w:bodyDiv w:val="1"/>
      <w:marLeft w:val="0"/>
      <w:marRight w:val="0"/>
      <w:marTop w:val="0"/>
      <w:marBottom w:val="0"/>
      <w:divBdr>
        <w:top w:val="none" w:sz="0" w:space="0" w:color="auto"/>
        <w:left w:val="none" w:sz="0" w:space="0" w:color="auto"/>
        <w:bottom w:val="none" w:sz="0" w:space="0" w:color="auto"/>
        <w:right w:val="none" w:sz="0" w:space="0" w:color="auto"/>
      </w:divBdr>
    </w:div>
    <w:div w:id="1732192721">
      <w:bodyDiv w:val="1"/>
      <w:marLeft w:val="0"/>
      <w:marRight w:val="0"/>
      <w:marTop w:val="0"/>
      <w:marBottom w:val="0"/>
      <w:divBdr>
        <w:top w:val="none" w:sz="0" w:space="0" w:color="auto"/>
        <w:left w:val="none" w:sz="0" w:space="0" w:color="auto"/>
        <w:bottom w:val="none" w:sz="0" w:space="0" w:color="auto"/>
        <w:right w:val="none" w:sz="0" w:space="0" w:color="auto"/>
      </w:divBdr>
    </w:div>
    <w:div w:id="1748188519">
      <w:bodyDiv w:val="1"/>
      <w:marLeft w:val="0"/>
      <w:marRight w:val="0"/>
      <w:marTop w:val="0"/>
      <w:marBottom w:val="0"/>
      <w:divBdr>
        <w:top w:val="none" w:sz="0" w:space="0" w:color="auto"/>
        <w:left w:val="none" w:sz="0" w:space="0" w:color="auto"/>
        <w:bottom w:val="none" w:sz="0" w:space="0" w:color="auto"/>
        <w:right w:val="none" w:sz="0" w:space="0" w:color="auto"/>
      </w:divBdr>
    </w:div>
    <w:div w:id="1754466839">
      <w:bodyDiv w:val="1"/>
      <w:marLeft w:val="0"/>
      <w:marRight w:val="0"/>
      <w:marTop w:val="0"/>
      <w:marBottom w:val="0"/>
      <w:divBdr>
        <w:top w:val="none" w:sz="0" w:space="0" w:color="auto"/>
        <w:left w:val="none" w:sz="0" w:space="0" w:color="auto"/>
        <w:bottom w:val="none" w:sz="0" w:space="0" w:color="auto"/>
        <w:right w:val="none" w:sz="0" w:space="0" w:color="auto"/>
      </w:divBdr>
    </w:div>
    <w:div w:id="1791432659">
      <w:bodyDiv w:val="1"/>
      <w:marLeft w:val="0"/>
      <w:marRight w:val="0"/>
      <w:marTop w:val="0"/>
      <w:marBottom w:val="0"/>
      <w:divBdr>
        <w:top w:val="none" w:sz="0" w:space="0" w:color="auto"/>
        <w:left w:val="none" w:sz="0" w:space="0" w:color="auto"/>
        <w:bottom w:val="none" w:sz="0" w:space="0" w:color="auto"/>
        <w:right w:val="none" w:sz="0" w:space="0" w:color="auto"/>
      </w:divBdr>
    </w:div>
    <w:div w:id="1792430968">
      <w:bodyDiv w:val="1"/>
      <w:marLeft w:val="0"/>
      <w:marRight w:val="0"/>
      <w:marTop w:val="0"/>
      <w:marBottom w:val="0"/>
      <w:divBdr>
        <w:top w:val="none" w:sz="0" w:space="0" w:color="auto"/>
        <w:left w:val="none" w:sz="0" w:space="0" w:color="auto"/>
        <w:bottom w:val="none" w:sz="0" w:space="0" w:color="auto"/>
        <w:right w:val="none" w:sz="0" w:space="0" w:color="auto"/>
      </w:divBdr>
    </w:div>
    <w:div w:id="1816950339">
      <w:bodyDiv w:val="1"/>
      <w:marLeft w:val="0"/>
      <w:marRight w:val="0"/>
      <w:marTop w:val="0"/>
      <w:marBottom w:val="0"/>
      <w:divBdr>
        <w:top w:val="none" w:sz="0" w:space="0" w:color="auto"/>
        <w:left w:val="none" w:sz="0" w:space="0" w:color="auto"/>
        <w:bottom w:val="none" w:sz="0" w:space="0" w:color="auto"/>
        <w:right w:val="none" w:sz="0" w:space="0" w:color="auto"/>
      </w:divBdr>
    </w:div>
    <w:div w:id="1871868652">
      <w:bodyDiv w:val="1"/>
      <w:marLeft w:val="0"/>
      <w:marRight w:val="0"/>
      <w:marTop w:val="0"/>
      <w:marBottom w:val="0"/>
      <w:divBdr>
        <w:top w:val="none" w:sz="0" w:space="0" w:color="auto"/>
        <w:left w:val="none" w:sz="0" w:space="0" w:color="auto"/>
        <w:bottom w:val="none" w:sz="0" w:space="0" w:color="auto"/>
        <w:right w:val="none" w:sz="0" w:space="0" w:color="auto"/>
      </w:divBdr>
    </w:div>
    <w:div w:id="1882746225">
      <w:bodyDiv w:val="1"/>
      <w:marLeft w:val="0"/>
      <w:marRight w:val="0"/>
      <w:marTop w:val="0"/>
      <w:marBottom w:val="0"/>
      <w:divBdr>
        <w:top w:val="none" w:sz="0" w:space="0" w:color="auto"/>
        <w:left w:val="none" w:sz="0" w:space="0" w:color="auto"/>
        <w:bottom w:val="none" w:sz="0" w:space="0" w:color="auto"/>
        <w:right w:val="none" w:sz="0" w:space="0" w:color="auto"/>
      </w:divBdr>
    </w:div>
    <w:div w:id="1886720201">
      <w:bodyDiv w:val="1"/>
      <w:marLeft w:val="0"/>
      <w:marRight w:val="0"/>
      <w:marTop w:val="0"/>
      <w:marBottom w:val="0"/>
      <w:divBdr>
        <w:top w:val="none" w:sz="0" w:space="0" w:color="auto"/>
        <w:left w:val="none" w:sz="0" w:space="0" w:color="auto"/>
        <w:bottom w:val="none" w:sz="0" w:space="0" w:color="auto"/>
        <w:right w:val="none" w:sz="0" w:space="0" w:color="auto"/>
      </w:divBdr>
    </w:div>
    <w:div w:id="1887255443">
      <w:bodyDiv w:val="1"/>
      <w:marLeft w:val="0"/>
      <w:marRight w:val="0"/>
      <w:marTop w:val="0"/>
      <w:marBottom w:val="0"/>
      <w:divBdr>
        <w:top w:val="none" w:sz="0" w:space="0" w:color="auto"/>
        <w:left w:val="none" w:sz="0" w:space="0" w:color="auto"/>
        <w:bottom w:val="none" w:sz="0" w:space="0" w:color="auto"/>
        <w:right w:val="none" w:sz="0" w:space="0" w:color="auto"/>
      </w:divBdr>
    </w:div>
    <w:div w:id="1889754015">
      <w:bodyDiv w:val="1"/>
      <w:marLeft w:val="0"/>
      <w:marRight w:val="0"/>
      <w:marTop w:val="0"/>
      <w:marBottom w:val="0"/>
      <w:divBdr>
        <w:top w:val="none" w:sz="0" w:space="0" w:color="auto"/>
        <w:left w:val="none" w:sz="0" w:space="0" w:color="auto"/>
        <w:bottom w:val="none" w:sz="0" w:space="0" w:color="auto"/>
        <w:right w:val="none" w:sz="0" w:space="0" w:color="auto"/>
      </w:divBdr>
    </w:div>
    <w:div w:id="1893343262">
      <w:bodyDiv w:val="1"/>
      <w:marLeft w:val="0"/>
      <w:marRight w:val="0"/>
      <w:marTop w:val="0"/>
      <w:marBottom w:val="0"/>
      <w:divBdr>
        <w:top w:val="none" w:sz="0" w:space="0" w:color="auto"/>
        <w:left w:val="none" w:sz="0" w:space="0" w:color="auto"/>
        <w:bottom w:val="none" w:sz="0" w:space="0" w:color="auto"/>
        <w:right w:val="none" w:sz="0" w:space="0" w:color="auto"/>
      </w:divBdr>
    </w:div>
    <w:div w:id="1920749379">
      <w:bodyDiv w:val="1"/>
      <w:marLeft w:val="0"/>
      <w:marRight w:val="0"/>
      <w:marTop w:val="0"/>
      <w:marBottom w:val="0"/>
      <w:divBdr>
        <w:top w:val="none" w:sz="0" w:space="0" w:color="auto"/>
        <w:left w:val="none" w:sz="0" w:space="0" w:color="auto"/>
        <w:bottom w:val="none" w:sz="0" w:space="0" w:color="auto"/>
        <w:right w:val="none" w:sz="0" w:space="0" w:color="auto"/>
      </w:divBdr>
    </w:div>
    <w:div w:id="1931890415">
      <w:bodyDiv w:val="1"/>
      <w:marLeft w:val="0"/>
      <w:marRight w:val="0"/>
      <w:marTop w:val="0"/>
      <w:marBottom w:val="0"/>
      <w:divBdr>
        <w:top w:val="none" w:sz="0" w:space="0" w:color="auto"/>
        <w:left w:val="none" w:sz="0" w:space="0" w:color="auto"/>
        <w:bottom w:val="none" w:sz="0" w:space="0" w:color="auto"/>
        <w:right w:val="none" w:sz="0" w:space="0" w:color="auto"/>
      </w:divBdr>
    </w:div>
    <w:div w:id="1943027722">
      <w:bodyDiv w:val="1"/>
      <w:marLeft w:val="0"/>
      <w:marRight w:val="0"/>
      <w:marTop w:val="0"/>
      <w:marBottom w:val="0"/>
      <w:divBdr>
        <w:top w:val="none" w:sz="0" w:space="0" w:color="auto"/>
        <w:left w:val="none" w:sz="0" w:space="0" w:color="auto"/>
        <w:bottom w:val="none" w:sz="0" w:space="0" w:color="auto"/>
        <w:right w:val="none" w:sz="0" w:space="0" w:color="auto"/>
      </w:divBdr>
    </w:div>
    <w:div w:id="1943299439">
      <w:bodyDiv w:val="1"/>
      <w:marLeft w:val="0"/>
      <w:marRight w:val="0"/>
      <w:marTop w:val="0"/>
      <w:marBottom w:val="0"/>
      <w:divBdr>
        <w:top w:val="none" w:sz="0" w:space="0" w:color="auto"/>
        <w:left w:val="none" w:sz="0" w:space="0" w:color="auto"/>
        <w:bottom w:val="none" w:sz="0" w:space="0" w:color="auto"/>
        <w:right w:val="none" w:sz="0" w:space="0" w:color="auto"/>
      </w:divBdr>
    </w:div>
    <w:div w:id="1944608009">
      <w:bodyDiv w:val="1"/>
      <w:marLeft w:val="0"/>
      <w:marRight w:val="0"/>
      <w:marTop w:val="0"/>
      <w:marBottom w:val="0"/>
      <w:divBdr>
        <w:top w:val="none" w:sz="0" w:space="0" w:color="auto"/>
        <w:left w:val="none" w:sz="0" w:space="0" w:color="auto"/>
        <w:bottom w:val="none" w:sz="0" w:space="0" w:color="auto"/>
        <w:right w:val="none" w:sz="0" w:space="0" w:color="auto"/>
      </w:divBdr>
    </w:div>
    <w:div w:id="1979457280">
      <w:bodyDiv w:val="1"/>
      <w:marLeft w:val="75"/>
      <w:marRight w:val="75"/>
      <w:marTop w:val="75"/>
      <w:marBottom w:val="75"/>
      <w:divBdr>
        <w:top w:val="none" w:sz="0" w:space="0" w:color="auto"/>
        <w:left w:val="none" w:sz="0" w:space="0" w:color="auto"/>
        <w:bottom w:val="none" w:sz="0" w:space="0" w:color="auto"/>
        <w:right w:val="none" w:sz="0" w:space="0" w:color="auto"/>
      </w:divBdr>
      <w:divsChild>
        <w:div w:id="1545867795">
          <w:marLeft w:val="0"/>
          <w:marRight w:val="0"/>
          <w:marTop w:val="0"/>
          <w:marBottom w:val="0"/>
          <w:divBdr>
            <w:top w:val="none" w:sz="0" w:space="0" w:color="auto"/>
            <w:left w:val="none" w:sz="0" w:space="0" w:color="auto"/>
            <w:bottom w:val="none" w:sz="0" w:space="0" w:color="auto"/>
            <w:right w:val="none" w:sz="0" w:space="0" w:color="auto"/>
          </w:divBdr>
          <w:divsChild>
            <w:div w:id="122718454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79801772">
      <w:bodyDiv w:val="1"/>
      <w:marLeft w:val="0"/>
      <w:marRight w:val="0"/>
      <w:marTop w:val="0"/>
      <w:marBottom w:val="0"/>
      <w:divBdr>
        <w:top w:val="none" w:sz="0" w:space="0" w:color="auto"/>
        <w:left w:val="none" w:sz="0" w:space="0" w:color="auto"/>
        <w:bottom w:val="none" w:sz="0" w:space="0" w:color="auto"/>
        <w:right w:val="none" w:sz="0" w:space="0" w:color="auto"/>
      </w:divBdr>
    </w:div>
    <w:div w:id="1991136809">
      <w:bodyDiv w:val="1"/>
      <w:marLeft w:val="0"/>
      <w:marRight w:val="0"/>
      <w:marTop w:val="0"/>
      <w:marBottom w:val="0"/>
      <w:divBdr>
        <w:top w:val="none" w:sz="0" w:space="0" w:color="auto"/>
        <w:left w:val="none" w:sz="0" w:space="0" w:color="auto"/>
        <w:bottom w:val="none" w:sz="0" w:space="0" w:color="auto"/>
        <w:right w:val="none" w:sz="0" w:space="0" w:color="auto"/>
      </w:divBdr>
    </w:div>
    <w:div w:id="2008171695">
      <w:bodyDiv w:val="1"/>
      <w:marLeft w:val="0"/>
      <w:marRight w:val="0"/>
      <w:marTop w:val="0"/>
      <w:marBottom w:val="0"/>
      <w:divBdr>
        <w:top w:val="none" w:sz="0" w:space="0" w:color="auto"/>
        <w:left w:val="none" w:sz="0" w:space="0" w:color="auto"/>
        <w:bottom w:val="none" w:sz="0" w:space="0" w:color="auto"/>
        <w:right w:val="none" w:sz="0" w:space="0" w:color="auto"/>
      </w:divBdr>
    </w:div>
    <w:div w:id="2012756437">
      <w:bodyDiv w:val="1"/>
      <w:marLeft w:val="0"/>
      <w:marRight w:val="0"/>
      <w:marTop w:val="0"/>
      <w:marBottom w:val="0"/>
      <w:divBdr>
        <w:top w:val="none" w:sz="0" w:space="0" w:color="auto"/>
        <w:left w:val="none" w:sz="0" w:space="0" w:color="auto"/>
        <w:bottom w:val="none" w:sz="0" w:space="0" w:color="auto"/>
        <w:right w:val="none" w:sz="0" w:space="0" w:color="auto"/>
      </w:divBdr>
    </w:div>
    <w:div w:id="2020966134">
      <w:bodyDiv w:val="1"/>
      <w:marLeft w:val="0"/>
      <w:marRight w:val="0"/>
      <w:marTop w:val="0"/>
      <w:marBottom w:val="0"/>
      <w:divBdr>
        <w:top w:val="none" w:sz="0" w:space="0" w:color="auto"/>
        <w:left w:val="none" w:sz="0" w:space="0" w:color="auto"/>
        <w:bottom w:val="none" w:sz="0" w:space="0" w:color="auto"/>
        <w:right w:val="none" w:sz="0" w:space="0" w:color="auto"/>
      </w:divBdr>
    </w:div>
    <w:div w:id="2023241945">
      <w:bodyDiv w:val="1"/>
      <w:marLeft w:val="0"/>
      <w:marRight w:val="0"/>
      <w:marTop w:val="0"/>
      <w:marBottom w:val="0"/>
      <w:divBdr>
        <w:top w:val="none" w:sz="0" w:space="0" w:color="auto"/>
        <w:left w:val="none" w:sz="0" w:space="0" w:color="auto"/>
        <w:bottom w:val="none" w:sz="0" w:space="0" w:color="auto"/>
        <w:right w:val="none" w:sz="0" w:space="0" w:color="auto"/>
      </w:divBdr>
    </w:div>
    <w:div w:id="2039894438">
      <w:bodyDiv w:val="1"/>
      <w:marLeft w:val="0"/>
      <w:marRight w:val="0"/>
      <w:marTop w:val="0"/>
      <w:marBottom w:val="0"/>
      <w:divBdr>
        <w:top w:val="none" w:sz="0" w:space="0" w:color="auto"/>
        <w:left w:val="none" w:sz="0" w:space="0" w:color="auto"/>
        <w:bottom w:val="none" w:sz="0" w:space="0" w:color="auto"/>
        <w:right w:val="none" w:sz="0" w:space="0" w:color="auto"/>
      </w:divBdr>
    </w:div>
    <w:div w:id="2064939997">
      <w:bodyDiv w:val="1"/>
      <w:marLeft w:val="0"/>
      <w:marRight w:val="0"/>
      <w:marTop w:val="0"/>
      <w:marBottom w:val="0"/>
      <w:divBdr>
        <w:top w:val="none" w:sz="0" w:space="0" w:color="auto"/>
        <w:left w:val="none" w:sz="0" w:space="0" w:color="auto"/>
        <w:bottom w:val="none" w:sz="0" w:space="0" w:color="auto"/>
        <w:right w:val="none" w:sz="0" w:space="0" w:color="auto"/>
      </w:divBdr>
    </w:div>
    <w:div w:id="2081366085">
      <w:bodyDiv w:val="1"/>
      <w:marLeft w:val="0"/>
      <w:marRight w:val="0"/>
      <w:marTop w:val="0"/>
      <w:marBottom w:val="0"/>
      <w:divBdr>
        <w:top w:val="none" w:sz="0" w:space="0" w:color="auto"/>
        <w:left w:val="none" w:sz="0" w:space="0" w:color="auto"/>
        <w:bottom w:val="none" w:sz="0" w:space="0" w:color="auto"/>
        <w:right w:val="none" w:sz="0" w:space="0" w:color="auto"/>
      </w:divBdr>
    </w:div>
    <w:div w:id="2090689410">
      <w:bodyDiv w:val="1"/>
      <w:marLeft w:val="0"/>
      <w:marRight w:val="0"/>
      <w:marTop w:val="0"/>
      <w:marBottom w:val="0"/>
      <w:divBdr>
        <w:top w:val="none" w:sz="0" w:space="0" w:color="auto"/>
        <w:left w:val="none" w:sz="0" w:space="0" w:color="auto"/>
        <w:bottom w:val="none" w:sz="0" w:space="0" w:color="auto"/>
        <w:right w:val="none" w:sz="0" w:space="0" w:color="auto"/>
      </w:divBdr>
    </w:div>
    <w:div w:id="2104450867">
      <w:bodyDiv w:val="1"/>
      <w:marLeft w:val="0"/>
      <w:marRight w:val="0"/>
      <w:marTop w:val="0"/>
      <w:marBottom w:val="0"/>
      <w:divBdr>
        <w:top w:val="none" w:sz="0" w:space="0" w:color="auto"/>
        <w:left w:val="none" w:sz="0" w:space="0" w:color="auto"/>
        <w:bottom w:val="none" w:sz="0" w:space="0" w:color="auto"/>
        <w:right w:val="none" w:sz="0" w:space="0" w:color="auto"/>
      </w:divBdr>
    </w:div>
    <w:div w:id="2115250872">
      <w:bodyDiv w:val="1"/>
      <w:marLeft w:val="0"/>
      <w:marRight w:val="0"/>
      <w:marTop w:val="0"/>
      <w:marBottom w:val="0"/>
      <w:divBdr>
        <w:top w:val="none" w:sz="0" w:space="0" w:color="auto"/>
        <w:left w:val="none" w:sz="0" w:space="0" w:color="auto"/>
        <w:bottom w:val="none" w:sz="0" w:space="0" w:color="auto"/>
        <w:right w:val="none" w:sz="0" w:space="0" w:color="auto"/>
      </w:divBdr>
    </w:div>
    <w:div w:id="2118938715">
      <w:bodyDiv w:val="1"/>
      <w:marLeft w:val="0"/>
      <w:marRight w:val="0"/>
      <w:marTop w:val="0"/>
      <w:marBottom w:val="0"/>
      <w:divBdr>
        <w:top w:val="none" w:sz="0" w:space="0" w:color="auto"/>
        <w:left w:val="none" w:sz="0" w:space="0" w:color="auto"/>
        <w:bottom w:val="none" w:sz="0" w:space="0" w:color="auto"/>
        <w:right w:val="none" w:sz="0" w:space="0" w:color="auto"/>
      </w:divBdr>
    </w:div>
    <w:div w:id="2119400465">
      <w:bodyDiv w:val="1"/>
      <w:marLeft w:val="0"/>
      <w:marRight w:val="0"/>
      <w:marTop w:val="0"/>
      <w:marBottom w:val="0"/>
      <w:divBdr>
        <w:top w:val="none" w:sz="0" w:space="0" w:color="auto"/>
        <w:left w:val="none" w:sz="0" w:space="0" w:color="auto"/>
        <w:bottom w:val="none" w:sz="0" w:space="0" w:color="auto"/>
        <w:right w:val="none" w:sz="0" w:space="0" w:color="auto"/>
      </w:divBdr>
    </w:div>
    <w:div w:id="21239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rn.com/abstract=2494943" TargetMode="External"/><Relationship Id="rId18" Type="http://schemas.openxmlformats.org/officeDocument/2006/relationships/hyperlink" Target="http://papers.ssrn.com/sol3/papers.cfm?abstract_id=226796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srn.com/abstract=306127" TargetMode="External"/><Relationship Id="rId2" Type="http://schemas.openxmlformats.org/officeDocument/2006/relationships/numbering" Target="numbering.xml"/><Relationship Id="rId16" Type="http://schemas.openxmlformats.org/officeDocument/2006/relationships/hyperlink" Target="http://www.cboe.com/micro/vvi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rn.com/abstract=1996802" TargetMode="External"/><Relationship Id="rId10" Type="http://schemas.openxmlformats.org/officeDocument/2006/relationships/footer" Target="foot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rn.com/abstract=202306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tak25@psu.ed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VIX</c:v>
                </c:pt>
              </c:strCache>
            </c:strRef>
          </c:tx>
          <c:spPr>
            <a:ln w="19050"/>
          </c:spPr>
          <c:marker>
            <c:symbol val="none"/>
          </c:marker>
          <c:cat>
            <c:numRef>
              <c:f>Sheet1!$A$2:$A$2163</c:f>
              <c:numCache>
                <c:formatCode>m/d/yyyy</c:formatCode>
                <c:ptCount val="2162"/>
                <c:pt idx="0">
                  <c:v>38869</c:v>
                </c:pt>
                <c:pt idx="1">
                  <c:v>38870</c:v>
                </c:pt>
                <c:pt idx="2">
                  <c:v>38873</c:v>
                </c:pt>
                <c:pt idx="3">
                  <c:v>38874</c:v>
                </c:pt>
                <c:pt idx="4">
                  <c:v>38875</c:v>
                </c:pt>
                <c:pt idx="5">
                  <c:v>38876</c:v>
                </c:pt>
                <c:pt idx="6">
                  <c:v>38877</c:v>
                </c:pt>
                <c:pt idx="7">
                  <c:v>38880</c:v>
                </c:pt>
                <c:pt idx="8">
                  <c:v>38881</c:v>
                </c:pt>
                <c:pt idx="9">
                  <c:v>38882</c:v>
                </c:pt>
                <c:pt idx="10">
                  <c:v>38883</c:v>
                </c:pt>
                <c:pt idx="11">
                  <c:v>38884</c:v>
                </c:pt>
                <c:pt idx="12">
                  <c:v>38887</c:v>
                </c:pt>
                <c:pt idx="13">
                  <c:v>38888</c:v>
                </c:pt>
                <c:pt idx="14">
                  <c:v>38889</c:v>
                </c:pt>
                <c:pt idx="15">
                  <c:v>38890</c:v>
                </c:pt>
                <c:pt idx="16">
                  <c:v>38891</c:v>
                </c:pt>
                <c:pt idx="17">
                  <c:v>38894</c:v>
                </c:pt>
                <c:pt idx="18">
                  <c:v>38895</c:v>
                </c:pt>
                <c:pt idx="19">
                  <c:v>38896</c:v>
                </c:pt>
                <c:pt idx="20">
                  <c:v>38897</c:v>
                </c:pt>
                <c:pt idx="21">
                  <c:v>38898</c:v>
                </c:pt>
                <c:pt idx="22">
                  <c:v>38901</c:v>
                </c:pt>
                <c:pt idx="23">
                  <c:v>38903</c:v>
                </c:pt>
                <c:pt idx="24">
                  <c:v>38904</c:v>
                </c:pt>
                <c:pt idx="25">
                  <c:v>38905</c:v>
                </c:pt>
                <c:pt idx="26">
                  <c:v>38908</c:v>
                </c:pt>
                <c:pt idx="27">
                  <c:v>38909</c:v>
                </c:pt>
                <c:pt idx="28">
                  <c:v>38910</c:v>
                </c:pt>
                <c:pt idx="29">
                  <c:v>38911</c:v>
                </c:pt>
                <c:pt idx="30">
                  <c:v>38912</c:v>
                </c:pt>
                <c:pt idx="31">
                  <c:v>38915</c:v>
                </c:pt>
                <c:pt idx="32">
                  <c:v>38916</c:v>
                </c:pt>
                <c:pt idx="33">
                  <c:v>38917</c:v>
                </c:pt>
                <c:pt idx="34">
                  <c:v>38918</c:v>
                </c:pt>
                <c:pt idx="35">
                  <c:v>38919</c:v>
                </c:pt>
                <c:pt idx="36">
                  <c:v>38922</c:v>
                </c:pt>
                <c:pt idx="37">
                  <c:v>38923</c:v>
                </c:pt>
                <c:pt idx="38">
                  <c:v>38924</c:v>
                </c:pt>
                <c:pt idx="39">
                  <c:v>38925</c:v>
                </c:pt>
                <c:pt idx="40">
                  <c:v>38926</c:v>
                </c:pt>
                <c:pt idx="41">
                  <c:v>38929</c:v>
                </c:pt>
                <c:pt idx="42">
                  <c:v>38930</c:v>
                </c:pt>
                <c:pt idx="43">
                  <c:v>38931</c:v>
                </c:pt>
                <c:pt idx="44">
                  <c:v>38932</c:v>
                </c:pt>
                <c:pt idx="45">
                  <c:v>38933</c:v>
                </c:pt>
                <c:pt idx="46">
                  <c:v>38936</c:v>
                </c:pt>
                <c:pt idx="47">
                  <c:v>38937</c:v>
                </c:pt>
                <c:pt idx="48">
                  <c:v>38938</c:v>
                </c:pt>
                <c:pt idx="49">
                  <c:v>38939</c:v>
                </c:pt>
                <c:pt idx="50">
                  <c:v>38940</c:v>
                </c:pt>
                <c:pt idx="51">
                  <c:v>38943</c:v>
                </c:pt>
                <c:pt idx="52">
                  <c:v>38944</c:v>
                </c:pt>
                <c:pt idx="53">
                  <c:v>38945</c:v>
                </c:pt>
                <c:pt idx="54">
                  <c:v>38946</c:v>
                </c:pt>
                <c:pt idx="55">
                  <c:v>38947</c:v>
                </c:pt>
                <c:pt idx="56">
                  <c:v>38950</c:v>
                </c:pt>
                <c:pt idx="57">
                  <c:v>38951</c:v>
                </c:pt>
                <c:pt idx="58">
                  <c:v>38952</c:v>
                </c:pt>
                <c:pt idx="59">
                  <c:v>38953</c:v>
                </c:pt>
                <c:pt idx="60">
                  <c:v>38954</c:v>
                </c:pt>
                <c:pt idx="61">
                  <c:v>38957</c:v>
                </c:pt>
                <c:pt idx="62">
                  <c:v>38958</c:v>
                </c:pt>
                <c:pt idx="63">
                  <c:v>38959</c:v>
                </c:pt>
                <c:pt idx="64">
                  <c:v>38960</c:v>
                </c:pt>
                <c:pt idx="65">
                  <c:v>38961</c:v>
                </c:pt>
                <c:pt idx="66">
                  <c:v>38965</c:v>
                </c:pt>
                <c:pt idx="67">
                  <c:v>38966</c:v>
                </c:pt>
                <c:pt idx="68">
                  <c:v>38967</c:v>
                </c:pt>
                <c:pt idx="69">
                  <c:v>38968</c:v>
                </c:pt>
                <c:pt idx="70">
                  <c:v>38971</c:v>
                </c:pt>
                <c:pt idx="71">
                  <c:v>38972</c:v>
                </c:pt>
                <c:pt idx="72">
                  <c:v>38973</c:v>
                </c:pt>
                <c:pt idx="73">
                  <c:v>38974</c:v>
                </c:pt>
                <c:pt idx="74">
                  <c:v>38975</c:v>
                </c:pt>
                <c:pt idx="75">
                  <c:v>38978</c:v>
                </c:pt>
                <c:pt idx="76">
                  <c:v>38979</c:v>
                </c:pt>
                <c:pt idx="77">
                  <c:v>38980</c:v>
                </c:pt>
                <c:pt idx="78">
                  <c:v>38981</c:v>
                </c:pt>
                <c:pt idx="79">
                  <c:v>38982</c:v>
                </c:pt>
                <c:pt idx="80">
                  <c:v>38985</c:v>
                </c:pt>
                <c:pt idx="81">
                  <c:v>38986</c:v>
                </c:pt>
                <c:pt idx="82">
                  <c:v>38987</c:v>
                </c:pt>
                <c:pt idx="83">
                  <c:v>38988</c:v>
                </c:pt>
                <c:pt idx="84">
                  <c:v>38989</c:v>
                </c:pt>
                <c:pt idx="85">
                  <c:v>38992</c:v>
                </c:pt>
                <c:pt idx="86">
                  <c:v>38993</c:v>
                </c:pt>
                <c:pt idx="87">
                  <c:v>38994</c:v>
                </c:pt>
                <c:pt idx="88">
                  <c:v>38995</c:v>
                </c:pt>
                <c:pt idx="89">
                  <c:v>38996</c:v>
                </c:pt>
                <c:pt idx="90">
                  <c:v>38999</c:v>
                </c:pt>
                <c:pt idx="91">
                  <c:v>39000</c:v>
                </c:pt>
                <c:pt idx="92">
                  <c:v>39001</c:v>
                </c:pt>
                <c:pt idx="93">
                  <c:v>39002</c:v>
                </c:pt>
                <c:pt idx="94">
                  <c:v>39003</c:v>
                </c:pt>
                <c:pt idx="95">
                  <c:v>39006</c:v>
                </c:pt>
                <c:pt idx="96">
                  <c:v>39007</c:v>
                </c:pt>
                <c:pt idx="97">
                  <c:v>39008</c:v>
                </c:pt>
                <c:pt idx="98">
                  <c:v>39009</c:v>
                </c:pt>
                <c:pt idx="99">
                  <c:v>39010</c:v>
                </c:pt>
                <c:pt idx="100">
                  <c:v>39013</c:v>
                </c:pt>
                <c:pt idx="101">
                  <c:v>39014</c:v>
                </c:pt>
                <c:pt idx="102">
                  <c:v>39015</c:v>
                </c:pt>
                <c:pt idx="103">
                  <c:v>39016</c:v>
                </c:pt>
                <c:pt idx="104">
                  <c:v>39017</c:v>
                </c:pt>
                <c:pt idx="105">
                  <c:v>39020</c:v>
                </c:pt>
                <c:pt idx="106">
                  <c:v>39021</c:v>
                </c:pt>
                <c:pt idx="107">
                  <c:v>39022</c:v>
                </c:pt>
                <c:pt idx="108">
                  <c:v>39023</c:v>
                </c:pt>
                <c:pt idx="109">
                  <c:v>39024</c:v>
                </c:pt>
                <c:pt idx="110">
                  <c:v>39027</c:v>
                </c:pt>
                <c:pt idx="111">
                  <c:v>39028</c:v>
                </c:pt>
                <c:pt idx="112">
                  <c:v>39029</c:v>
                </c:pt>
                <c:pt idx="113">
                  <c:v>39030</c:v>
                </c:pt>
                <c:pt idx="114">
                  <c:v>39031</c:v>
                </c:pt>
                <c:pt idx="115">
                  <c:v>39034</c:v>
                </c:pt>
                <c:pt idx="116">
                  <c:v>39035</c:v>
                </c:pt>
                <c:pt idx="117">
                  <c:v>39036</c:v>
                </c:pt>
                <c:pt idx="118">
                  <c:v>39037</c:v>
                </c:pt>
                <c:pt idx="119">
                  <c:v>39038</c:v>
                </c:pt>
                <c:pt idx="120">
                  <c:v>39041</c:v>
                </c:pt>
                <c:pt idx="121">
                  <c:v>39042</c:v>
                </c:pt>
                <c:pt idx="122">
                  <c:v>39043</c:v>
                </c:pt>
                <c:pt idx="123">
                  <c:v>39045</c:v>
                </c:pt>
                <c:pt idx="124">
                  <c:v>39048</c:v>
                </c:pt>
                <c:pt idx="125">
                  <c:v>39049</c:v>
                </c:pt>
                <c:pt idx="126">
                  <c:v>39050</c:v>
                </c:pt>
                <c:pt idx="127">
                  <c:v>39051</c:v>
                </c:pt>
                <c:pt idx="128">
                  <c:v>39052</c:v>
                </c:pt>
                <c:pt idx="129">
                  <c:v>39055</c:v>
                </c:pt>
                <c:pt idx="130">
                  <c:v>39056</c:v>
                </c:pt>
                <c:pt idx="131">
                  <c:v>39057</c:v>
                </c:pt>
                <c:pt idx="132">
                  <c:v>39058</c:v>
                </c:pt>
                <c:pt idx="133">
                  <c:v>39059</c:v>
                </c:pt>
                <c:pt idx="134">
                  <c:v>39062</c:v>
                </c:pt>
                <c:pt idx="135">
                  <c:v>39063</c:v>
                </c:pt>
                <c:pt idx="136">
                  <c:v>39064</c:v>
                </c:pt>
                <c:pt idx="137">
                  <c:v>39065</c:v>
                </c:pt>
                <c:pt idx="138">
                  <c:v>39066</c:v>
                </c:pt>
                <c:pt idx="139">
                  <c:v>39069</c:v>
                </c:pt>
                <c:pt idx="140">
                  <c:v>39070</c:v>
                </c:pt>
                <c:pt idx="141">
                  <c:v>39071</c:v>
                </c:pt>
                <c:pt idx="142">
                  <c:v>39072</c:v>
                </c:pt>
                <c:pt idx="143">
                  <c:v>39073</c:v>
                </c:pt>
                <c:pt idx="144">
                  <c:v>39077</c:v>
                </c:pt>
                <c:pt idx="145">
                  <c:v>39078</c:v>
                </c:pt>
                <c:pt idx="146">
                  <c:v>39079</c:v>
                </c:pt>
                <c:pt idx="147">
                  <c:v>39080</c:v>
                </c:pt>
                <c:pt idx="148">
                  <c:v>39085</c:v>
                </c:pt>
                <c:pt idx="149">
                  <c:v>39086</c:v>
                </c:pt>
                <c:pt idx="150">
                  <c:v>39087</c:v>
                </c:pt>
                <c:pt idx="151">
                  <c:v>39090</c:v>
                </c:pt>
                <c:pt idx="152">
                  <c:v>39091</c:v>
                </c:pt>
                <c:pt idx="153">
                  <c:v>39092</c:v>
                </c:pt>
                <c:pt idx="154">
                  <c:v>39093</c:v>
                </c:pt>
                <c:pt idx="155">
                  <c:v>39094</c:v>
                </c:pt>
                <c:pt idx="156">
                  <c:v>39098</c:v>
                </c:pt>
                <c:pt idx="157">
                  <c:v>39099</c:v>
                </c:pt>
                <c:pt idx="158">
                  <c:v>39100</c:v>
                </c:pt>
                <c:pt idx="159">
                  <c:v>39101</c:v>
                </c:pt>
                <c:pt idx="160">
                  <c:v>39104</c:v>
                </c:pt>
                <c:pt idx="161">
                  <c:v>39105</c:v>
                </c:pt>
                <c:pt idx="162">
                  <c:v>39106</c:v>
                </c:pt>
                <c:pt idx="163">
                  <c:v>39107</c:v>
                </c:pt>
                <c:pt idx="164">
                  <c:v>39108</c:v>
                </c:pt>
                <c:pt idx="165">
                  <c:v>39111</c:v>
                </c:pt>
                <c:pt idx="166">
                  <c:v>39112</c:v>
                </c:pt>
                <c:pt idx="167">
                  <c:v>39113</c:v>
                </c:pt>
                <c:pt idx="168">
                  <c:v>39114</c:v>
                </c:pt>
                <c:pt idx="169">
                  <c:v>39115</c:v>
                </c:pt>
                <c:pt idx="170">
                  <c:v>39118</c:v>
                </c:pt>
                <c:pt idx="171">
                  <c:v>39119</c:v>
                </c:pt>
                <c:pt idx="172">
                  <c:v>39120</c:v>
                </c:pt>
                <c:pt idx="173">
                  <c:v>39121</c:v>
                </c:pt>
                <c:pt idx="174">
                  <c:v>39122</c:v>
                </c:pt>
                <c:pt idx="175">
                  <c:v>39125</c:v>
                </c:pt>
                <c:pt idx="176">
                  <c:v>39126</c:v>
                </c:pt>
                <c:pt idx="177">
                  <c:v>39127</c:v>
                </c:pt>
                <c:pt idx="178">
                  <c:v>39128</c:v>
                </c:pt>
                <c:pt idx="179">
                  <c:v>39129</c:v>
                </c:pt>
                <c:pt idx="180">
                  <c:v>39133</c:v>
                </c:pt>
                <c:pt idx="181">
                  <c:v>39134</c:v>
                </c:pt>
                <c:pt idx="182">
                  <c:v>39135</c:v>
                </c:pt>
                <c:pt idx="183">
                  <c:v>39136</c:v>
                </c:pt>
                <c:pt idx="184">
                  <c:v>39139</c:v>
                </c:pt>
                <c:pt idx="185">
                  <c:v>39140</c:v>
                </c:pt>
                <c:pt idx="186">
                  <c:v>39141</c:v>
                </c:pt>
                <c:pt idx="187">
                  <c:v>39142</c:v>
                </c:pt>
                <c:pt idx="188">
                  <c:v>39143</c:v>
                </c:pt>
                <c:pt idx="189">
                  <c:v>39146</c:v>
                </c:pt>
                <c:pt idx="190">
                  <c:v>39147</c:v>
                </c:pt>
                <c:pt idx="191">
                  <c:v>39148</c:v>
                </c:pt>
                <c:pt idx="192">
                  <c:v>39149</c:v>
                </c:pt>
                <c:pt idx="193">
                  <c:v>39150</c:v>
                </c:pt>
                <c:pt idx="194">
                  <c:v>39153</c:v>
                </c:pt>
                <c:pt idx="195">
                  <c:v>39154</c:v>
                </c:pt>
                <c:pt idx="196">
                  <c:v>39155</c:v>
                </c:pt>
                <c:pt idx="197">
                  <c:v>39156</c:v>
                </c:pt>
                <c:pt idx="198">
                  <c:v>39157</c:v>
                </c:pt>
                <c:pt idx="199">
                  <c:v>39160</c:v>
                </c:pt>
                <c:pt idx="200">
                  <c:v>39161</c:v>
                </c:pt>
                <c:pt idx="201">
                  <c:v>39162</c:v>
                </c:pt>
                <c:pt idx="202">
                  <c:v>39163</c:v>
                </c:pt>
                <c:pt idx="203">
                  <c:v>39164</c:v>
                </c:pt>
                <c:pt idx="204">
                  <c:v>39167</c:v>
                </c:pt>
                <c:pt idx="205">
                  <c:v>39168</c:v>
                </c:pt>
                <c:pt idx="206">
                  <c:v>39169</c:v>
                </c:pt>
                <c:pt idx="207">
                  <c:v>39170</c:v>
                </c:pt>
                <c:pt idx="208">
                  <c:v>39171</c:v>
                </c:pt>
                <c:pt idx="209">
                  <c:v>39174</c:v>
                </c:pt>
                <c:pt idx="210">
                  <c:v>39175</c:v>
                </c:pt>
                <c:pt idx="211">
                  <c:v>39176</c:v>
                </c:pt>
                <c:pt idx="212">
                  <c:v>39177</c:v>
                </c:pt>
                <c:pt idx="213">
                  <c:v>39181</c:v>
                </c:pt>
                <c:pt idx="214">
                  <c:v>39182</c:v>
                </c:pt>
                <c:pt idx="215">
                  <c:v>39183</c:v>
                </c:pt>
                <c:pt idx="216">
                  <c:v>39184</c:v>
                </c:pt>
                <c:pt idx="217">
                  <c:v>39185</c:v>
                </c:pt>
                <c:pt idx="218">
                  <c:v>39188</c:v>
                </c:pt>
                <c:pt idx="219">
                  <c:v>39189</c:v>
                </c:pt>
                <c:pt idx="220">
                  <c:v>39190</c:v>
                </c:pt>
                <c:pt idx="221">
                  <c:v>39191</c:v>
                </c:pt>
                <c:pt idx="222">
                  <c:v>39192</c:v>
                </c:pt>
                <c:pt idx="223">
                  <c:v>39195</c:v>
                </c:pt>
                <c:pt idx="224">
                  <c:v>39196</c:v>
                </c:pt>
                <c:pt idx="225">
                  <c:v>39197</c:v>
                </c:pt>
                <c:pt idx="226">
                  <c:v>39198</c:v>
                </c:pt>
                <c:pt idx="227">
                  <c:v>39199</c:v>
                </c:pt>
                <c:pt idx="228">
                  <c:v>39202</c:v>
                </c:pt>
                <c:pt idx="229">
                  <c:v>39203</c:v>
                </c:pt>
                <c:pt idx="230">
                  <c:v>39204</c:v>
                </c:pt>
                <c:pt idx="231">
                  <c:v>39205</c:v>
                </c:pt>
                <c:pt idx="232">
                  <c:v>39206</c:v>
                </c:pt>
                <c:pt idx="233">
                  <c:v>39209</c:v>
                </c:pt>
                <c:pt idx="234">
                  <c:v>39210</c:v>
                </c:pt>
                <c:pt idx="235">
                  <c:v>39211</c:v>
                </c:pt>
                <c:pt idx="236">
                  <c:v>39212</c:v>
                </c:pt>
                <c:pt idx="237">
                  <c:v>39213</c:v>
                </c:pt>
                <c:pt idx="238">
                  <c:v>39216</c:v>
                </c:pt>
                <c:pt idx="239">
                  <c:v>39217</c:v>
                </c:pt>
                <c:pt idx="240">
                  <c:v>39218</c:v>
                </c:pt>
                <c:pt idx="241">
                  <c:v>39219</c:v>
                </c:pt>
                <c:pt idx="242">
                  <c:v>39220</c:v>
                </c:pt>
                <c:pt idx="243">
                  <c:v>39223</c:v>
                </c:pt>
                <c:pt idx="244">
                  <c:v>39224</c:v>
                </c:pt>
                <c:pt idx="245">
                  <c:v>39225</c:v>
                </c:pt>
                <c:pt idx="246">
                  <c:v>39226</c:v>
                </c:pt>
                <c:pt idx="247">
                  <c:v>39227</c:v>
                </c:pt>
                <c:pt idx="248">
                  <c:v>39231</c:v>
                </c:pt>
                <c:pt idx="249">
                  <c:v>39232</c:v>
                </c:pt>
                <c:pt idx="250">
                  <c:v>39233</c:v>
                </c:pt>
                <c:pt idx="251">
                  <c:v>39234</c:v>
                </c:pt>
                <c:pt idx="252">
                  <c:v>39237</c:v>
                </c:pt>
                <c:pt idx="253">
                  <c:v>39238</c:v>
                </c:pt>
                <c:pt idx="254">
                  <c:v>39239</c:v>
                </c:pt>
                <c:pt idx="255">
                  <c:v>39240</c:v>
                </c:pt>
                <c:pt idx="256">
                  <c:v>39241</c:v>
                </c:pt>
                <c:pt idx="257">
                  <c:v>39244</c:v>
                </c:pt>
                <c:pt idx="258">
                  <c:v>39245</c:v>
                </c:pt>
                <c:pt idx="259">
                  <c:v>39246</c:v>
                </c:pt>
                <c:pt idx="260">
                  <c:v>39247</c:v>
                </c:pt>
                <c:pt idx="261">
                  <c:v>39248</c:v>
                </c:pt>
                <c:pt idx="262">
                  <c:v>39251</c:v>
                </c:pt>
                <c:pt idx="263">
                  <c:v>39252</c:v>
                </c:pt>
                <c:pt idx="264">
                  <c:v>39253</c:v>
                </c:pt>
                <c:pt idx="265">
                  <c:v>39254</c:v>
                </c:pt>
                <c:pt idx="266">
                  <c:v>39255</c:v>
                </c:pt>
                <c:pt idx="267">
                  <c:v>39258</c:v>
                </c:pt>
                <c:pt idx="268">
                  <c:v>39259</c:v>
                </c:pt>
                <c:pt idx="269">
                  <c:v>39260</c:v>
                </c:pt>
                <c:pt idx="270">
                  <c:v>39261</c:v>
                </c:pt>
                <c:pt idx="271">
                  <c:v>39262</c:v>
                </c:pt>
                <c:pt idx="272">
                  <c:v>39265</c:v>
                </c:pt>
                <c:pt idx="273">
                  <c:v>39266</c:v>
                </c:pt>
                <c:pt idx="274">
                  <c:v>39268</c:v>
                </c:pt>
                <c:pt idx="275">
                  <c:v>39269</c:v>
                </c:pt>
                <c:pt idx="276">
                  <c:v>39272</c:v>
                </c:pt>
                <c:pt idx="277">
                  <c:v>39273</c:v>
                </c:pt>
                <c:pt idx="278">
                  <c:v>39274</c:v>
                </c:pt>
                <c:pt idx="279">
                  <c:v>39275</c:v>
                </c:pt>
                <c:pt idx="280">
                  <c:v>39276</c:v>
                </c:pt>
                <c:pt idx="281">
                  <c:v>39279</c:v>
                </c:pt>
                <c:pt idx="282">
                  <c:v>39280</c:v>
                </c:pt>
                <c:pt idx="283">
                  <c:v>39281</c:v>
                </c:pt>
                <c:pt idx="284">
                  <c:v>39282</c:v>
                </c:pt>
                <c:pt idx="285">
                  <c:v>39283</c:v>
                </c:pt>
                <c:pt idx="286">
                  <c:v>39286</c:v>
                </c:pt>
                <c:pt idx="287">
                  <c:v>39287</c:v>
                </c:pt>
                <c:pt idx="288">
                  <c:v>39288</c:v>
                </c:pt>
                <c:pt idx="289">
                  <c:v>39289</c:v>
                </c:pt>
                <c:pt idx="290">
                  <c:v>39290</c:v>
                </c:pt>
                <c:pt idx="291">
                  <c:v>39293</c:v>
                </c:pt>
                <c:pt idx="292">
                  <c:v>39294</c:v>
                </c:pt>
                <c:pt idx="293">
                  <c:v>39295</c:v>
                </c:pt>
                <c:pt idx="294">
                  <c:v>39296</c:v>
                </c:pt>
                <c:pt idx="295">
                  <c:v>39297</c:v>
                </c:pt>
                <c:pt idx="296">
                  <c:v>39300</c:v>
                </c:pt>
                <c:pt idx="297">
                  <c:v>39301</c:v>
                </c:pt>
                <c:pt idx="298">
                  <c:v>39302</c:v>
                </c:pt>
                <c:pt idx="299">
                  <c:v>39303</c:v>
                </c:pt>
                <c:pt idx="300">
                  <c:v>39304</c:v>
                </c:pt>
                <c:pt idx="301">
                  <c:v>39307</c:v>
                </c:pt>
                <c:pt idx="302">
                  <c:v>39308</c:v>
                </c:pt>
                <c:pt idx="303">
                  <c:v>39309</c:v>
                </c:pt>
                <c:pt idx="304">
                  <c:v>39310</c:v>
                </c:pt>
                <c:pt idx="305">
                  <c:v>39311</c:v>
                </c:pt>
                <c:pt idx="306">
                  <c:v>39314</c:v>
                </c:pt>
                <c:pt idx="307">
                  <c:v>39315</c:v>
                </c:pt>
                <c:pt idx="308">
                  <c:v>39316</c:v>
                </c:pt>
                <c:pt idx="309">
                  <c:v>39317</c:v>
                </c:pt>
                <c:pt idx="310">
                  <c:v>39318</c:v>
                </c:pt>
                <c:pt idx="311">
                  <c:v>39321</c:v>
                </c:pt>
                <c:pt idx="312">
                  <c:v>39322</c:v>
                </c:pt>
                <c:pt idx="313">
                  <c:v>39323</c:v>
                </c:pt>
                <c:pt idx="314">
                  <c:v>39324</c:v>
                </c:pt>
                <c:pt idx="315">
                  <c:v>39325</c:v>
                </c:pt>
                <c:pt idx="316">
                  <c:v>39329</c:v>
                </c:pt>
                <c:pt idx="317">
                  <c:v>39330</c:v>
                </c:pt>
                <c:pt idx="318">
                  <c:v>39331</c:v>
                </c:pt>
                <c:pt idx="319">
                  <c:v>39332</c:v>
                </c:pt>
                <c:pt idx="320">
                  <c:v>39335</c:v>
                </c:pt>
                <c:pt idx="321">
                  <c:v>39336</c:v>
                </c:pt>
                <c:pt idx="322">
                  <c:v>39337</c:v>
                </c:pt>
                <c:pt idx="323">
                  <c:v>39338</c:v>
                </c:pt>
                <c:pt idx="324">
                  <c:v>39339</c:v>
                </c:pt>
                <c:pt idx="325">
                  <c:v>39342</c:v>
                </c:pt>
                <c:pt idx="326">
                  <c:v>39343</c:v>
                </c:pt>
                <c:pt idx="327">
                  <c:v>39344</c:v>
                </c:pt>
                <c:pt idx="328">
                  <c:v>39345</c:v>
                </c:pt>
                <c:pt idx="329">
                  <c:v>39346</c:v>
                </c:pt>
                <c:pt idx="330">
                  <c:v>39349</c:v>
                </c:pt>
                <c:pt idx="331">
                  <c:v>39350</c:v>
                </c:pt>
                <c:pt idx="332">
                  <c:v>39351</c:v>
                </c:pt>
                <c:pt idx="333">
                  <c:v>39352</c:v>
                </c:pt>
                <c:pt idx="334">
                  <c:v>39353</c:v>
                </c:pt>
                <c:pt idx="335">
                  <c:v>39356</c:v>
                </c:pt>
                <c:pt idx="336">
                  <c:v>39357</c:v>
                </c:pt>
                <c:pt idx="337">
                  <c:v>39358</c:v>
                </c:pt>
                <c:pt idx="338">
                  <c:v>39359</c:v>
                </c:pt>
                <c:pt idx="339">
                  <c:v>39360</c:v>
                </c:pt>
                <c:pt idx="340">
                  <c:v>39363</c:v>
                </c:pt>
                <c:pt idx="341">
                  <c:v>39364</c:v>
                </c:pt>
                <c:pt idx="342">
                  <c:v>39365</c:v>
                </c:pt>
                <c:pt idx="343">
                  <c:v>39366</c:v>
                </c:pt>
                <c:pt idx="344">
                  <c:v>39367</c:v>
                </c:pt>
                <c:pt idx="345">
                  <c:v>39370</c:v>
                </c:pt>
                <c:pt idx="346">
                  <c:v>39371</c:v>
                </c:pt>
                <c:pt idx="347">
                  <c:v>39372</c:v>
                </c:pt>
                <c:pt idx="348">
                  <c:v>39373</c:v>
                </c:pt>
                <c:pt idx="349">
                  <c:v>39374</c:v>
                </c:pt>
                <c:pt idx="350">
                  <c:v>39377</c:v>
                </c:pt>
                <c:pt idx="351">
                  <c:v>39378</c:v>
                </c:pt>
                <c:pt idx="352">
                  <c:v>39379</c:v>
                </c:pt>
                <c:pt idx="353">
                  <c:v>39380</c:v>
                </c:pt>
                <c:pt idx="354">
                  <c:v>39381</c:v>
                </c:pt>
                <c:pt idx="355">
                  <c:v>39384</c:v>
                </c:pt>
                <c:pt idx="356">
                  <c:v>39385</c:v>
                </c:pt>
                <c:pt idx="357">
                  <c:v>39386</c:v>
                </c:pt>
                <c:pt idx="358">
                  <c:v>39387</c:v>
                </c:pt>
                <c:pt idx="359">
                  <c:v>39388</c:v>
                </c:pt>
                <c:pt idx="360">
                  <c:v>39391</c:v>
                </c:pt>
                <c:pt idx="361">
                  <c:v>39392</c:v>
                </c:pt>
                <c:pt idx="362">
                  <c:v>39393</c:v>
                </c:pt>
                <c:pt idx="363">
                  <c:v>39394</c:v>
                </c:pt>
                <c:pt idx="364">
                  <c:v>39395</c:v>
                </c:pt>
                <c:pt idx="365">
                  <c:v>39398</c:v>
                </c:pt>
                <c:pt idx="366">
                  <c:v>39399</c:v>
                </c:pt>
                <c:pt idx="367">
                  <c:v>39400</c:v>
                </c:pt>
                <c:pt idx="368">
                  <c:v>39401</c:v>
                </c:pt>
                <c:pt idx="369">
                  <c:v>39402</c:v>
                </c:pt>
                <c:pt idx="370">
                  <c:v>39405</c:v>
                </c:pt>
                <c:pt idx="371">
                  <c:v>39406</c:v>
                </c:pt>
                <c:pt idx="372">
                  <c:v>39407</c:v>
                </c:pt>
                <c:pt idx="373">
                  <c:v>39409</c:v>
                </c:pt>
                <c:pt idx="374">
                  <c:v>39412</c:v>
                </c:pt>
                <c:pt idx="375">
                  <c:v>39413</c:v>
                </c:pt>
                <c:pt idx="376">
                  <c:v>39414</c:v>
                </c:pt>
                <c:pt idx="377">
                  <c:v>39415</c:v>
                </c:pt>
                <c:pt idx="378">
                  <c:v>39416</c:v>
                </c:pt>
                <c:pt idx="379">
                  <c:v>39419</c:v>
                </c:pt>
                <c:pt idx="380">
                  <c:v>39420</c:v>
                </c:pt>
                <c:pt idx="381">
                  <c:v>39421</c:v>
                </c:pt>
                <c:pt idx="382">
                  <c:v>39422</c:v>
                </c:pt>
                <c:pt idx="383">
                  <c:v>39423</c:v>
                </c:pt>
                <c:pt idx="384">
                  <c:v>39426</c:v>
                </c:pt>
                <c:pt idx="385">
                  <c:v>39427</c:v>
                </c:pt>
                <c:pt idx="386">
                  <c:v>39428</c:v>
                </c:pt>
                <c:pt idx="387">
                  <c:v>39429</c:v>
                </c:pt>
                <c:pt idx="388">
                  <c:v>39430</c:v>
                </c:pt>
                <c:pt idx="389">
                  <c:v>39433</c:v>
                </c:pt>
                <c:pt idx="390">
                  <c:v>39434</c:v>
                </c:pt>
                <c:pt idx="391">
                  <c:v>39435</c:v>
                </c:pt>
                <c:pt idx="392">
                  <c:v>39436</c:v>
                </c:pt>
                <c:pt idx="393">
                  <c:v>39437</c:v>
                </c:pt>
                <c:pt idx="394">
                  <c:v>39440</c:v>
                </c:pt>
                <c:pt idx="395">
                  <c:v>39442</c:v>
                </c:pt>
                <c:pt idx="396">
                  <c:v>39443</c:v>
                </c:pt>
                <c:pt idx="397">
                  <c:v>39444</c:v>
                </c:pt>
                <c:pt idx="398">
                  <c:v>39447</c:v>
                </c:pt>
                <c:pt idx="399">
                  <c:v>39449</c:v>
                </c:pt>
                <c:pt idx="400">
                  <c:v>39450</c:v>
                </c:pt>
                <c:pt idx="401">
                  <c:v>39451</c:v>
                </c:pt>
                <c:pt idx="402">
                  <c:v>39454</c:v>
                </c:pt>
                <c:pt idx="403">
                  <c:v>39455</c:v>
                </c:pt>
                <c:pt idx="404">
                  <c:v>39456</c:v>
                </c:pt>
                <c:pt idx="405">
                  <c:v>39457</c:v>
                </c:pt>
                <c:pt idx="406">
                  <c:v>39458</c:v>
                </c:pt>
                <c:pt idx="407">
                  <c:v>39461</c:v>
                </c:pt>
                <c:pt idx="408">
                  <c:v>39462</c:v>
                </c:pt>
                <c:pt idx="409">
                  <c:v>39463</c:v>
                </c:pt>
                <c:pt idx="410">
                  <c:v>39464</c:v>
                </c:pt>
                <c:pt idx="411">
                  <c:v>39465</c:v>
                </c:pt>
                <c:pt idx="412">
                  <c:v>39469</c:v>
                </c:pt>
                <c:pt idx="413">
                  <c:v>39470</c:v>
                </c:pt>
                <c:pt idx="414">
                  <c:v>39471</c:v>
                </c:pt>
                <c:pt idx="415">
                  <c:v>39472</c:v>
                </c:pt>
                <c:pt idx="416">
                  <c:v>39475</c:v>
                </c:pt>
                <c:pt idx="417">
                  <c:v>39476</c:v>
                </c:pt>
                <c:pt idx="418">
                  <c:v>39477</c:v>
                </c:pt>
                <c:pt idx="419">
                  <c:v>39478</c:v>
                </c:pt>
                <c:pt idx="420">
                  <c:v>39479</c:v>
                </c:pt>
                <c:pt idx="421">
                  <c:v>39482</c:v>
                </c:pt>
                <c:pt idx="422">
                  <c:v>39483</c:v>
                </c:pt>
                <c:pt idx="423">
                  <c:v>39484</c:v>
                </c:pt>
                <c:pt idx="424">
                  <c:v>39485</c:v>
                </c:pt>
                <c:pt idx="425">
                  <c:v>39486</c:v>
                </c:pt>
                <c:pt idx="426">
                  <c:v>39489</c:v>
                </c:pt>
                <c:pt idx="427">
                  <c:v>39490</c:v>
                </c:pt>
                <c:pt idx="428">
                  <c:v>39491</c:v>
                </c:pt>
                <c:pt idx="429">
                  <c:v>39492</c:v>
                </c:pt>
                <c:pt idx="430">
                  <c:v>39493</c:v>
                </c:pt>
                <c:pt idx="431">
                  <c:v>39497</c:v>
                </c:pt>
                <c:pt idx="432">
                  <c:v>39498</c:v>
                </c:pt>
                <c:pt idx="433">
                  <c:v>39499</c:v>
                </c:pt>
                <c:pt idx="434">
                  <c:v>39500</c:v>
                </c:pt>
                <c:pt idx="435">
                  <c:v>39503</c:v>
                </c:pt>
                <c:pt idx="436">
                  <c:v>39504</c:v>
                </c:pt>
                <c:pt idx="437">
                  <c:v>39505</c:v>
                </c:pt>
                <c:pt idx="438">
                  <c:v>39506</c:v>
                </c:pt>
                <c:pt idx="439">
                  <c:v>39507</c:v>
                </c:pt>
                <c:pt idx="440">
                  <c:v>39510</c:v>
                </c:pt>
                <c:pt idx="441">
                  <c:v>39511</c:v>
                </c:pt>
                <c:pt idx="442">
                  <c:v>39512</c:v>
                </c:pt>
                <c:pt idx="443">
                  <c:v>39513</c:v>
                </c:pt>
                <c:pt idx="444">
                  <c:v>39514</c:v>
                </c:pt>
                <c:pt idx="445">
                  <c:v>39517</c:v>
                </c:pt>
                <c:pt idx="446">
                  <c:v>39518</c:v>
                </c:pt>
                <c:pt idx="447">
                  <c:v>39519</c:v>
                </c:pt>
                <c:pt idx="448">
                  <c:v>39520</c:v>
                </c:pt>
                <c:pt idx="449">
                  <c:v>39521</c:v>
                </c:pt>
                <c:pt idx="450">
                  <c:v>39524</c:v>
                </c:pt>
                <c:pt idx="451">
                  <c:v>39525</c:v>
                </c:pt>
                <c:pt idx="452">
                  <c:v>39526</c:v>
                </c:pt>
                <c:pt idx="453">
                  <c:v>39527</c:v>
                </c:pt>
                <c:pt idx="454">
                  <c:v>39531</c:v>
                </c:pt>
                <c:pt idx="455">
                  <c:v>39532</c:v>
                </c:pt>
                <c:pt idx="456">
                  <c:v>39533</c:v>
                </c:pt>
                <c:pt idx="457">
                  <c:v>39534</c:v>
                </c:pt>
                <c:pt idx="458">
                  <c:v>39535</c:v>
                </c:pt>
                <c:pt idx="459">
                  <c:v>39538</c:v>
                </c:pt>
                <c:pt idx="460">
                  <c:v>39539</c:v>
                </c:pt>
                <c:pt idx="461">
                  <c:v>39540</c:v>
                </c:pt>
                <c:pt idx="462">
                  <c:v>39541</c:v>
                </c:pt>
                <c:pt idx="463">
                  <c:v>39542</c:v>
                </c:pt>
                <c:pt idx="464">
                  <c:v>39545</c:v>
                </c:pt>
                <c:pt idx="465">
                  <c:v>39546</c:v>
                </c:pt>
                <c:pt idx="466">
                  <c:v>39547</c:v>
                </c:pt>
                <c:pt idx="467">
                  <c:v>39548</c:v>
                </c:pt>
                <c:pt idx="468">
                  <c:v>39549</c:v>
                </c:pt>
                <c:pt idx="469">
                  <c:v>39552</c:v>
                </c:pt>
                <c:pt idx="470">
                  <c:v>39553</c:v>
                </c:pt>
                <c:pt idx="471">
                  <c:v>39554</c:v>
                </c:pt>
                <c:pt idx="472">
                  <c:v>39555</c:v>
                </c:pt>
                <c:pt idx="473">
                  <c:v>39556</c:v>
                </c:pt>
                <c:pt idx="474">
                  <c:v>39559</c:v>
                </c:pt>
                <c:pt idx="475">
                  <c:v>39560</c:v>
                </c:pt>
                <c:pt idx="476">
                  <c:v>39561</c:v>
                </c:pt>
                <c:pt idx="477">
                  <c:v>39562</c:v>
                </c:pt>
                <c:pt idx="478">
                  <c:v>39563</c:v>
                </c:pt>
                <c:pt idx="479">
                  <c:v>39566</c:v>
                </c:pt>
                <c:pt idx="480">
                  <c:v>39567</c:v>
                </c:pt>
                <c:pt idx="481">
                  <c:v>39568</c:v>
                </c:pt>
                <c:pt idx="482">
                  <c:v>39569</c:v>
                </c:pt>
                <c:pt idx="483">
                  <c:v>39570</c:v>
                </c:pt>
                <c:pt idx="484">
                  <c:v>39573</c:v>
                </c:pt>
                <c:pt idx="485">
                  <c:v>39574</c:v>
                </c:pt>
                <c:pt idx="486">
                  <c:v>39575</c:v>
                </c:pt>
                <c:pt idx="487">
                  <c:v>39576</c:v>
                </c:pt>
                <c:pt idx="488">
                  <c:v>39577</c:v>
                </c:pt>
                <c:pt idx="489">
                  <c:v>39580</c:v>
                </c:pt>
                <c:pt idx="490">
                  <c:v>39581</c:v>
                </c:pt>
                <c:pt idx="491">
                  <c:v>39582</c:v>
                </c:pt>
                <c:pt idx="492">
                  <c:v>39583</c:v>
                </c:pt>
                <c:pt idx="493">
                  <c:v>39584</c:v>
                </c:pt>
                <c:pt idx="494">
                  <c:v>39587</c:v>
                </c:pt>
                <c:pt idx="495">
                  <c:v>39588</c:v>
                </c:pt>
                <c:pt idx="496">
                  <c:v>39589</c:v>
                </c:pt>
                <c:pt idx="497">
                  <c:v>39590</c:v>
                </c:pt>
                <c:pt idx="498">
                  <c:v>39591</c:v>
                </c:pt>
                <c:pt idx="499">
                  <c:v>39595</c:v>
                </c:pt>
                <c:pt idx="500">
                  <c:v>39596</c:v>
                </c:pt>
                <c:pt idx="501">
                  <c:v>39597</c:v>
                </c:pt>
                <c:pt idx="502">
                  <c:v>39598</c:v>
                </c:pt>
                <c:pt idx="503">
                  <c:v>39601</c:v>
                </c:pt>
                <c:pt idx="504">
                  <c:v>39602</c:v>
                </c:pt>
                <c:pt idx="505">
                  <c:v>39603</c:v>
                </c:pt>
                <c:pt idx="506">
                  <c:v>39604</c:v>
                </c:pt>
                <c:pt idx="507">
                  <c:v>39605</c:v>
                </c:pt>
                <c:pt idx="508">
                  <c:v>39608</c:v>
                </c:pt>
                <c:pt idx="509">
                  <c:v>39609</c:v>
                </c:pt>
                <c:pt idx="510">
                  <c:v>39610</c:v>
                </c:pt>
                <c:pt idx="511">
                  <c:v>39611</c:v>
                </c:pt>
                <c:pt idx="512">
                  <c:v>39612</c:v>
                </c:pt>
                <c:pt idx="513">
                  <c:v>39615</c:v>
                </c:pt>
                <c:pt idx="514">
                  <c:v>39616</c:v>
                </c:pt>
                <c:pt idx="515">
                  <c:v>39617</c:v>
                </c:pt>
                <c:pt idx="516">
                  <c:v>39618</c:v>
                </c:pt>
                <c:pt idx="517">
                  <c:v>39619</c:v>
                </c:pt>
                <c:pt idx="518">
                  <c:v>39622</c:v>
                </c:pt>
                <c:pt idx="519">
                  <c:v>39623</c:v>
                </c:pt>
                <c:pt idx="520">
                  <c:v>39624</c:v>
                </c:pt>
                <c:pt idx="521">
                  <c:v>39625</c:v>
                </c:pt>
                <c:pt idx="522">
                  <c:v>39626</c:v>
                </c:pt>
                <c:pt idx="523">
                  <c:v>39629</c:v>
                </c:pt>
                <c:pt idx="524">
                  <c:v>39630</c:v>
                </c:pt>
                <c:pt idx="525">
                  <c:v>39631</c:v>
                </c:pt>
                <c:pt idx="526">
                  <c:v>39632</c:v>
                </c:pt>
                <c:pt idx="527">
                  <c:v>39636</c:v>
                </c:pt>
                <c:pt idx="528">
                  <c:v>39637</c:v>
                </c:pt>
                <c:pt idx="529">
                  <c:v>39638</c:v>
                </c:pt>
                <c:pt idx="530">
                  <c:v>39639</c:v>
                </c:pt>
                <c:pt idx="531">
                  <c:v>39640</c:v>
                </c:pt>
                <c:pt idx="532">
                  <c:v>39643</c:v>
                </c:pt>
                <c:pt idx="533">
                  <c:v>39644</c:v>
                </c:pt>
                <c:pt idx="534">
                  <c:v>39645</c:v>
                </c:pt>
                <c:pt idx="535">
                  <c:v>39646</c:v>
                </c:pt>
                <c:pt idx="536">
                  <c:v>39647</c:v>
                </c:pt>
                <c:pt idx="537">
                  <c:v>39650</c:v>
                </c:pt>
                <c:pt idx="538">
                  <c:v>39651</c:v>
                </c:pt>
                <c:pt idx="539">
                  <c:v>39652</c:v>
                </c:pt>
                <c:pt idx="540">
                  <c:v>39653</c:v>
                </c:pt>
                <c:pt idx="541">
                  <c:v>39654</c:v>
                </c:pt>
                <c:pt idx="542">
                  <c:v>39657</c:v>
                </c:pt>
                <c:pt idx="543">
                  <c:v>39658</c:v>
                </c:pt>
                <c:pt idx="544">
                  <c:v>39659</c:v>
                </c:pt>
                <c:pt idx="545">
                  <c:v>39660</c:v>
                </c:pt>
                <c:pt idx="546">
                  <c:v>39661</c:v>
                </c:pt>
                <c:pt idx="547">
                  <c:v>39664</c:v>
                </c:pt>
                <c:pt idx="548">
                  <c:v>39665</c:v>
                </c:pt>
                <c:pt idx="549">
                  <c:v>39666</c:v>
                </c:pt>
                <c:pt idx="550">
                  <c:v>39667</c:v>
                </c:pt>
                <c:pt idx="551">
                  <c:v>39668</c:v>
                </c:pt>
                <c:pt idx="552">
                  <c:v>39671</c:v>
                </c:pt>
                <c:pt idx="553">
                  <c:v>39672</c:v>
                </c:pt>
                <c:pt idx="554">
                  <c:v>39673</c:v>
                </c:pt>
                <c:pt idx="555">
                  <c:v>39674</c:v>
                </c:pt>
                <c:pt idx="556">
                  <c:v>39675</c:v>
                </c:pt>
                <c:pt idx="557">
                  <c:v>39678</c:v>
                </c:pt>
                <c:pt idx="558">
                  <c:v>39679</c:v>
                </c:pt>
                <c:pt idx="559">
                  <c:v>39680</c:v>
                </c:pt>
                <c:pt idx="560">
                  <c:v>39681</c:v>
                </c:pt>
                <c:pt idx="561">
                  <c:v>39682</c:v>
                </c:pt>
                <c:pt idx="562">
                  <c:v>39685</c:v>
                </c:pt>
                <c:pt idx="563">
                  <c:v>39686</c:v>
                </c:pt>
                <c:pt idx="564">
                  <c:v>39687</c:v>
                </c:pt>
                <c:pt idx="565">
                  <c:v>39688</c:v>
                </c:pt>
                <c:pt idx="566">
                  <c:v>39689</c:v>
                </c:pt>
                <c:pt idx="567">
                  <c:v>39693</c:v>
                </c:pt>
                <c:pt idx="568">
                  <c:v>39694</c:v>
                </c:pt>
                <c:pt idx="569">
                  <c:v>39695</c:v>
                </c:pt>
                <c:pt idx="570">
                  <c:v>39696</c:v>
                </c:pt>
                <c:pt idx="571">
                  <c:v>39699</c:v>
                </c:pt>
                <c:pt idx="572">
                  <c:v>39700</c:v>
                </c:pt>
                <c:pt idx="573">
                  <c:v>39701</c:v>
                </c:pt>
                <c:pt idx="574">
                  <c:v>39702</c:v>
                </c:pt>
                <c:pt idx="575">
                  <c:v>39703</c:v>
                </c:pt>
                <c:pt idx="576">
                  <c:v>39706</c:v>
                </c:pt>
                <c:pt idx="577">
                  <c:v>39707</c:v>
                </c:pt>
                <c:pt idx="578">
                  <c:v>39708</c:v>
                </c:pt>
                <c:pt idx="579">
                  <c:v>39709</c:v>
                </c:pt>
                <c:pt idx="580">
                  <c:v>39710</c:v>
                </c:pt>
                <c:pt idx="581">
                  <c:v>39713</c:v>
                </c:pt>
                <c:pt idx="582">
                  <c:v>39714</c:v>
                </c:pt>
                <c:pt idx="583">
                  <c:v>39715</c:v>
                </c:pt>
                <c:pt idx="584">
                  <c:v>39716</c:v>
                </c:pt>
                <c:pt idx="585">
                  <c:v>39717</c:v>
                </c:pt>
                <c:pt idx="586">
                  <c:v>39720</c:v>
                </c:pt>
                <c:pt idx="587">
                  <c:v>39721</c:v>
                </c:pt>
                <c:pt idx="588">
                  <c:v>39722</c:v>
                </c:pt>
                <c:pt idx="589">
                  <c:v>39723</c:v>
                </c:pt>
                <c:pt idx="590">
                  <c:v>39724</c:v>
                </c:pt>
                <c:pt idx="591">
                  <c:v>39727</c:v>
                </c:pt>
                <c:pt idx="592">
                  <c:v>39728</c:v>
                </c:pt>
                <c:pt idx="593">
                  <c:v>39729</c:v>
                </c:pt>
                <c:pt idx="594">
                  <c:v>39730</c:v>
                </c:pt>
                <c:pt idx="595">
                  <c:v>39731</c:v>
                </c:pt>
                <c:pt idx="596">
                  <c:v>39734</c:v>
                </c:pt>
                <c:pt idx="597">
                  <c:v>39735</c:v>
                </c:pt>
                <c:pt idx="598">
                  <c:v>39736</c:v>
                </c:pt>
                <c:pt idx="599">
                  <c:v>39737</c:v>
                </c:pt>
                <c:pt idx="600">
                  <c:v>39738</c:v>
                </c:pt>
                <c:pt idx="601">
                  <c:v>39741</c:v>
                </c:pt>
                <c:pt idx="602">
                  <c:v>39742</c:v>
                </c:pt>
                <c:pt idx="603">
                  <c:v>39743</c:v>
                </c:pt>
                <c:pt idx="604">
                  <c:v>39744</c:v>
                </c:pt>
                <c:pt idx="605">
                  <c:v>39745</c:v>
                </c:pt>
                <c:pt idx="606">
                  <c:v>39748</c:v>
                </c:pt>
                <c:pt idx="607">
                  <c:v>39749</c:v>
                </c:pt>
                <c:pt idx="608">
                  <c:v>39750</c:v>
                </c:pt>
                <c:pt idx="609">
                  <c:v>39751</c:v>
                </c:pt>
                <c:pt idx="610">
                  <c:v>39752</c:v>
                </c:pt>
                <c:pt idx="611">
                  <c:v>39755</c:v>
                </c:pt>
                <c:pt idx="612">
                  <c:v>39756</c:v>
                </c:pt>
                <c:pt idx="613">
                  <c:v>39757</c:v>
                </c:pt>
                <c:pt idx="614">
                  <c:v>39758</c:v>
                </c:pt>
                <c:pt idx="615">
                  <c:v>39759</c:v>
                </c:pt>
                <c:pt idx="616">
                  <c:v>39762</c:v>
                </c:pt>
                <c:pt idx="617">
                  <c:v>39763</c:v>
                </c:pt>
                <c:pt idx="618">
                  <c:v>39764</c:v>
                </c:pt>
                <c:pt idx="619">
                  <c:v>39765</c:v>
                </c:pt>
                <c:pt idx="620">
                  <c:v>39766</c:v>
                </c:pt>
                <c:pt idx="621">
                  <c:v>39769</c:v>
                </c:pt>
                <c:pt idx="622">
                  <c:v>39770</c:v>
                </c:pt>
                <c:pt idx="623">
                  <c:v>39771</c:v>
                </c:pt>
                <c:pt idx="624">
                  <c:v>39772</c:v>
                </c:pt>
                <c:pt idx="625">
                  <c:v>39773</c:v>
                </c:pt>
                <c:pt idx="626">
                  <c:v>39776</c:v>
                </c:pt>
                <c:pt idx="627">
                  <c:v>39777</c:v>
                </c:pt>
                <c:pt idx="628">
                  <c:v>39778</c:v>
                </c:pt>
                <c:pt idx="629">
                  <c:v>39780</c:v>
                </c:pt>
                <c:pt idx="630">
                  <c:v>39783</c:v>
                </c:pt>
                <c:pt idx="631">
                  <c:v>39784</c:v>
                </c:pt>
                <c:pt idx="632">
                  <c:v>39785</c:v>
                </c:pt>
                <c:pt idx="633">
                  <c:v>39786</c:v>
                </c:pt>
                <c:pt idx="634">
                  <c:v>39787</c:v>
                </c:pt>
                <c:pt idx="635">
                  <c:v>39790</c:v>
                </c:pt>
                <c:pt idx="636">
                  <c:v>39791</c:v>
                </c:pt>
                <c:pt idx="637">
                  <c:v>39792</c:v>
                </c:pt>
                <c:pt idx="638">
                  <c:v>39793</c:v>
                </c:pt>
                <c:pt idx="639">
                  <c:v>39794</c:v>
                </c:pt>
                <c:pt idx="640">
                  <c:v>39797</c:v>
                </c:pt>
                <c:pt idx="641">
                  <c:v>39798</c:v>
                </c:pt>
                <c:pt idx="642">
                  <c:v>39799</c:v>
                </c:pt>
                <c:pt idx="643">
                  <c:v>39800</c:v>
                </c:pt>
                <c:pt idx="644">
                  <c:v>39801</c:v>
                </c:pt>
                <c:pt idx="645">
                  <c:v>39804</c:v>
                </c:pt>
                <c:pt idx="646">
                  <c:v>39805</c:v>
                </c:pt>
                <c:pt idx="647">
                  <c:v>39806</c:v>
                </c:pt>
                <c:pt idx="648">
                  <c:v>39808</c:v>
                </c:pt>
                <c:pt idx="649">
                  <c:v>39811</c:v>
                </c:pt>
                <c:pt idx="650">
                  <c:v>39812</c:v>
                </c:pt>
                <c:pt idx="651">
                  <c:v>39813</c:v>
                </c:pt>
                <c:pt idx="652">
                  <c:v>39815</c:v>
                </c:pt>
                <c:pt idx="653">
                  <c:v>39818</c:v>
                </c:pt>
                <c:pt idx="654">
                  <c:v>39819</c:v>
                </c:pt>
                <c:pt idx="655">
                  <c:v>39820</c:v>
                </c:pt>
                <c:pt idx="656">
                  <c:v>39821</c:v>
                </c:pt>
                <c:pt idx="657">
                  <c:v>39822</c:v>
                </c:pt>
                <c:pt idx="658">
                  <c:v>39825</c:v>
                </c:pt>
                <c:pt idx="659">
                  <c:v>39826</c:v>
                </c:pt>
                <c:pt idx="660">
                  <c:v>39827</c:v>
                </c:pt>
                <c:pt idx="661">
                  <c:v>39828</c:v>
                </c:pt>
                <c:pt idx="662">
                  <c:v>39829</c:v>
                </c:pt>
                <c:pt idx="663">
                  <c:v>39833</c:v>
                </c:pt>
                <c:pt idx="664">
                  <c:v>39834</c:v>
                </c:pt>
                <c:pt idx="665">
                  <c:v>39835</c:v>
                </c:pt>
                <c:pt idx="666">
                  <c:v>39836</c:v>
                </c:pt>
                <c:pt idx="667">
                  <c:v>39839</c:v>
                </c:pt>
                <c:pt idx="668">
                  <c:v>39840</c:v>
                </c:pt>
                <c:pt idx="669">
                  <c:v>39841</c:v>
                </c:pt>
                <c:pt idx="670">
                  <c:v>39842</c:v>
                </c:pt>
                <c:pt idx="671">
                  <c:v>39843</c:v>
                </c:pt>
                <c:pt idx="672">
                  <c:v>39846</c:v>
                </c:pt>
                <c:pt idx="673">
                  <c:v>39847</c:v>
                </c:pt>
                <c:pt idx="674">
                  <c:v>39848</c:v>
                </c:pt>
                <c:pt idx="675">
                  <c:v>39849</c:v>
                </c:pt>
                <c:pt idx="676">
                  <c:v>39850</c:v>
                </c:pt>
                <c:pt idx="677">
                  <c:v>39853</c:v>
                </c:pt>
                <c:pt idx="678">
                  <c:v>39854</c:v>
                </c:pt>
                <c:pt idx="679">
                  <c:v>39855</c:v>
                </c:pt>
                <c:pt idx="680">
                  <c:v>39856</c:v>
                </c:pt>
                <c:pt idx="681">
                  <c:v>39857</c:v>
                </c:pt>
                <c:pt idx="682">
                  <c:v>39861</c:v>
                </c:pt>
                <c:pt idx="683">
                  <c:v>39862</c:v>
                </c:pt>
                <c:pt idx="684">
                  <c:v>39863</c:v>
                </c:pt>
                <c:pt idx="685">
                  <c:v>39864</c:v>
                </c:pt>
                <c:pt idx="686">
                  <c:v>39867</c:v>
                </c:pt>
                <c:pt idx="687">
                  <c:v>39868</c:v>
                </c:pt>
                <c:pt idx="688">
                  <c:v>39869</c:v>
                </c:pt>
                <c:pt idx="689">
                  <c:v>39870</c:v>
                </c:pt>
                <c:pt idx="690">
                  <c:v>39871</c:v>
                </c:pt>
                <c:pt idx="691">
                  <c:v>39874</c:v>
                </c:pt>
                <c:pt idx="692">
                  <c:v>39875</c:v>
                </c:pt>
                <c:pt idx="693">
                  <c:v>39876</c:v>
                </c:pt>
                <c:pt idx="694">
                  <c:v>39877</c:v>
                </c:pt>
                <c:pt idx="695">
                  <c:v>39878</c:v>
                </c:pt>
                <c:pt idx="696">
                  <c:v>39881</c:v>
                </c:pt>
                <c:pt idx="697">
                  <c:v>39882</c:v>
                </c:pt>
                <c:pt idx="698">
                  <c:v>39883</c:v>
                </c:pt>
                <c:pt idx="699">
                  <c:v>39884</c:v>
                </c:pt>
                <c:pt idx="700">
                  <c:v>39885</c:v>
                </c:pt>
                <c:pt idx="701">
                  <c:v>39888</c:v>
                </c:pt>
                <c:pt idx="702">
                  <c:v>39889</c:v>
                </c:pt>
                <c:pt idx="703">
                  <c:v>39890</c:v>
                </c:pt>
                <c:pt idx="704">
                  <c:v>39891</c:v>
                </c:pt>
                <c:pt idx="705">
                  <c:v>39892</c:v>
                </c:pt>
                <c:pt idx="706">
                  <c:v>39895</c:v>
                </c:pt>
                <c:pt idx="707">
                  <c:v>39896</c:v>
                </c:pt>
                <c:pt idx="708">
                  <c:v>39897</c:v>
                </c:pt>
                <c:pt idx="709">
                  <c:v>39898</c:v>
                </c:pt>
                <c:pt idx="710">
                  <c:v>39899</c:v>
                </c:pt>
                <c:pt idx="711">
                  <c:v>39902</c:v>
                </c:pt>
                <c:pt idx="712">
                  <c:v>39903</c:v>
                </c:pt>
                <c:pt idx="713">
                  <c:v>39904</c:v>
                </c:pt>
                <c:pt idx="714">
                  <c:v>39905</c:v>
                </c:pt>
                <c:pt idx="715">
                  <c:v>39906</c:v>
                </c:pt>
                <c:pt idx="716">
                  <c:v>39909</c:v>
                </c:pt>
                <c:pt idx="717">
                  <c:v>39910</c:v>
                </c:pt>
                <c:pt idx="718">
                  <c:v>39911</c:v>
                </c:pt>
                <c:pt idx="719">
                  <c:v>39912</c:v>
                </c:pt>
                <c:pt idx="720">
                  <c:v>39916</c:v>
                </c:pt>
                <c:pt idx="721">
                  <c:v>39917</c:v>
                </c:pt>
                <c:pt idx="722">
                  <c:v>39918</c:v>
                </c:pt>
                <c:pt idx="723">
                  <c:v>39919</c:v>
                </c:pt>
                <c:pt idx="724">
                  <c:v>39920</c:v>
                </c:pt>
                <c:pt idx="725">
                  <c:v>39923</c:v>
                </c:pt>
                <c:pt idx="726">
                  <c:v>39924</c:v>
                </c:pt>
                <c:pt idx="727">
                  <c:v>39925</c:v>
                </c:pt>
                <c:pt idx="728">
                  <c:v>39926</c:v>
                </c:pt>
                <c:pt idx="729">
                  <c:v>39927</c:v>
                </c:pt>
                <c:pt idx="730">
                  <c:v>39930</c:v>
                </c:pt>
                <c:pt idx="731">
                  <c:v>39931</c:v>
                </c:pt>
                <c:pt idx="732">
                  <c:v>39932</c:v>
                </c:pt>
                <c:pt idx="733">
                  <c:v>39933</c:v>
                </c:pt>
                <c:pt idx="734">
                  <c:v>39934</c:v>
                </c:pt>
                <c:pt idx="735">
                  <c:v>39937</c:v>
                </c:pt>
                <c:pt idx="736">
                  <c:v>39938</c:v>
                </c:pt>
                <c:pt idx="737">
                  <c:v>39939</c:v>
                </c:pt>
                <c:pt idx="738">
                  <c:v>39940</c:v>
                </c:pt>
                <c:pt idx="739">
                  <c:v>39941</c:v>
                </c:pt>
                <c:pt idx="740">
                  <c:v>39944</c:v>
                </c:pt>
                <c:pt idx="741">
                  <c:v>39945</c:v>
                </c:pt>
                <c:pt idx="742">
                  <c:v>39946</c:v>
                </c:pt>
                <c:pt idx="743">
                  <c:v>39947</c:v>
                </c:pt>
                <c:pt idx="744">
                  <c:v>39948</c:v>
                </c:pt>
                <c:pt idx="745">
                  <c:v>39951</c:v>
                </c:pt>
                <c:pt idx="746">
                  <c:v>39952</c:v>
                </c:pt>
                <c:pt idx="747">
                  <c:v>39953</c:v>
                </c:pt>
                <c:pt idx="748">
                  <c:v>39954</c:v>
                </c:pt>
                <c:pt idx="749">
                  <c:v>39955</c:v>
                </c:pt>
                <c:pt idx="750">
                  <c:v>39959</c:v>
                </c:pt>
                <c:pt idx="751">
                  <c:v>39960</c:v>
                </c:pt>
                <c:pt idx="752">
                  <c:v>39961</c:v>
                </c:pt>
                <c:pt idx="753">
                  <c:v>39962</c:v>
                </c:pt>
                <c:pt idx="754">
                  <c:v>39965</c:v>
                </c:pt>
                <c:pt idx="755">
                  <c:v>39966</c:v>
                </c:pt>
                <c:pt idx="756">
                  <c:v>39967</c:v>
                </c:pt>
                <c:pt idx="757">
                  <c:v>39968</c:v>
                </c:pt>
                <c:pt idx="758">
                  <c:v>39969</c:v>
                </c:pt>
                <c:pt idx="759">
                  <c:v>39972</c:v>
                </c:pt>
                <c:pt idx="760">
                  <c:v>39973</c:v>
                </c:pt>
                <c:pt idx="761">
                  <c:v>39974</c:v>
                </c:pt>
                <c:pt idx="762">
                  <c:v>39975</c:v>
                </c:pt>
                <c:pt idx="763">
                  <c:v>39976</c:v>
                </c:pt>
                <c:pt idx="764">
                  <c:v>39979</c:v>
                </c:pt>
                <c:pt idx="765">
                  <c:v>39980</c:v>
                </c:pt>
                <c:pt idx="766">
                  <c:v>39981</c:v>
                </c:pt>
                <c:pt idx="767">
                  <c:v>39982</c:v>
                </c:pt>
                <c:pt idx="768">
                  <c:v>39983</c:v>
                </c:pt>
                <c:pt idx="769">
                  <c:v>39986</c:v>
                </c:pt>
                <c:pt idx="770">
                  <c:v>39987</c:v>
                </c:pt>
                <c:pt idx="771">
                  <c:v>39988</c:v>
                </c:pt>
                <c:pt idx="772">
                  <c:v>39989</c:v>
                </c:pt>
                <c:pt idx="773">
                  <c:v>39990</c:v>
                </c:pt>
                <c:pt idx="774">
                  <c:v>39993</c:v>
                </c:pt>
                <c:pt idx="775">
                  <c:v>39994</c:v>
                </c:pt>
                <c:pt idx="776">
                  <c:v>39995</c:v>
                </c:pt>
                <c:pt idx="777">
                  <c:v>39996</c:v>
                </c:pt>
                <c:pt idx="778">
                  <c:v>40000</c:v>
                </c:pt>
                <c:pt idx="779">
                  <c:v>40001</c:v>
                </c:pt>
                <c:pt idx="780">
                  <c:v>40002</c:v>
                </c:pt>
                <c:pt idx="781">
                  <c:v>40003</c:v>
                </c:pt>
                <c:pt idx="782">
                  <c:v>40004</c:v>
                </c:pt>
                <c:pt idx="783">
                  <c:v>40007</c:v>
                </c:pt>
                <c:pt idx="784">
                  <c:v>40008</c:v>
                </c:pt>
                <c:pt idx="785">
                  <c:v>40009</c:v>
                </c:pt>
                <c:pt idx="786">
                  <c:v>40010</c:v>
                </c:pt>
                <c:pt idx="787">
                  <c:v>40011</c:v>
                </c:pt>
                <c:pt idx="788">
                  <c:v>40014</c:v>
                </c:pt>
                <c:pt idx="789">
                  <c:v>40015</c:v>
                </c:pt>
                <c:pt idx="790">
                  <c:v>40016</c:v>
                </c:pt>
                <c:pt idx="791">
                  <c:v>40017</c:v>
                </c:pt>
                <c:pt idx="792">
                  <c:v>40018</c:v>
                </c:pt>
                <c:pt idx="793">
                  <c:v>40021</c:v>
                </c:pt>
                <c:pt idx="794">
                  <c:v>40022</c:v>
                </c:pt>
                <c:pt idx="795">
                  <c:v>40023</c:v>
                </c:pt>
                <c:pt idx="796">
                  <c:v>40024</c:v>
                </c:pt>
                <c:pt idx="797">
                  <c:v>40025</c:v>
                </c:pt>
                <c:pt idx="798">
                  <c:v>40028</c:v>
                </c:pt>
                <c:pt idx="799">
                  <c:v>40029</c:v>
                </c:pt>
                <c:pt idx="800">
                  <c:v>40030</c:v>
                </c:pt>
                <c:pt idx="801">
                  <c:v>40031</c:v>
                </c:pt>
                <c:pt idx="802">
                  <c:v>40032</c:v>
                </c:pt>
                <c:pt idx="803">
                  <c:v>40035</c:v>
                </c:pt>
                <c:pt idx="804">
                  <c:v>40036</c:v>
                </c:pt>
                <c:pt idx="805">
                  <c:v>40037</c:v>
                </c:pt>
                <c:pt idx="806">
                  <c:v>40038</c:v>
                </c:pt>
                <c:pt idx="807">
                  <c:v>40039</c:v>
                </c:pt>
                <c:pt idx="808">
                  <c:v>40042</c:v>
                </c:pt>
                <c:pt idx="809">
                  <c:v>40043</c:v>
                </c:pt>
                <c:pt idx="810">
                  <c:v>40044</c:v>
                </c:pt>
                <c:pt idx="811">
                  <c:v>40045</c:v>
                </c:pt>
                <c:pt idx="812">
                  <c:v>40046</c:v>
                </c:pt>
                <c:pt idx="813">
                  <c:v>40049</c:v>
                </c:pt>
                <c:pt idx="814">
                  <c:v>40050</c:v>
                </c:pt>
                <c:pt idx="815">
                  <c:v>40051</c:v>
                </c:pt>
                <c:pt idx="816">
                  <c:v>40052</c:v>
                </c:pt>
                <c:pt idx="817">
                  <c:v>40053</c:v>
                </c:pt>
                <c:pt idx="818">
                  <c:v>40056</c:v>
                </c:pt>
                <c:pt idx="819">
                  <c:v>40057</c:v>
                </c:pt>
                <c:pt idx="820">
                  <c:v>40058</c:v>
                </c:pt>
                <c:pt idx="821">
                  <c:v>40059</c:v>
                </c:pt>
                <c:pt idx="822">
                  <c:v>40060</c:v>
                </c:pt>
                <c:pt idx="823">
                  <c:v>40064</c:v>
                </c:pt>
                <c:pt idx="824">
                  <c:v>40065</c:v>
                </c:pt>
                <c:pt idx="825">
                  <c:v>40066</c:v>
                </c:pt>
                <c:pt idx="826">
                  <c:v>40067</c:v>
                </c:pt>
                <c:pt idx="827">
                  <c:v>40070</c:v>
                </c:pt>
                <c:pt idx="828">
                  <c:v>40071</c:v>
                </c:pt>
                <c:pt idx="829">
                  <c:v>40072</c:v>
                </c:pt>
                <c:pt idx="830">
                  <c:v>40073</c:v>
                </c:pt>
                <c:pt idx="831">
                  <c:v>40074</c:v>
                </c:pt>
                <c:pt idx="832">
                  <c:v>40077</c:v>
                </c:pt>
                <c:pt idx="833">
                  <c:v>40078</c:v>
                </c:pt>
                <c:pt idx="834">
                  <c:v>40079</c:v>
                </c:pt>
                <c:pt idx="835">
                  <c:v>40080</c:v>
                </c:pt>
                <c:pt idx="836">
                  <c:v>40081</c:v>
                </c:pt>
                <c:pt idx="837">
                  <c:v>40084</c:v>
                </c:pt>
                <c:pt idx="838">
                  <c:v>40085</c:v>
                </c:pt>
                <c:pt idx="839">
                  <c:v>40086</c:v>
                </c:pt>
                <c:pt idx="840">
                  <c:v>40087</c:v>
                </c:pt>
                <c:pt idx="841">
                  <c:v>40088</c:v>
                </c:pt>
                <c:pt idx="842">
                  <c:v>40091</c:v>
                </c:pt>
                <c:pt idx="843">
                  <c:v>40092</c:v>
                </c:pt>
                <c:pt idx="844">
                  <c:v>40093</c:v>
                </c:pt>
                <c:pt idx="845">
                  <c:v>40094</c:v>
                </c:pt>
                <c:pt idx="846">
                  <c:v>40095</c:v>
                </c:pt>
                <c:pt idx="847">
                  <c:v>40098</c:v>
                </c:pt>
                <c:pt idx="848">
                  <c:v>40099</c:v>
                </c:pt>
                <c:pt idx="849">
                  <c:v>40100</c:v>
                </c:pt>
                <c:pt idx="850">
                  <c:v>40101</c:v>
                </c:pt>
                <c:pt idx="851">
                  <c:v>40102</c:v>
                </c:pt>
                <c:pt idx="852">
                  <c:v>40105</c:v>
                </c:pt>
                <c:pt idx="853">
                  <c:v>40106</c:v>
                </c:pt>
                <c:pt idx="854">
                  <c:v>40107</c:v>
                </c:pt>
                <c:pt idx="855">
                  <c:v>40108</c:v>
                </c:pt>
                <c:pt idx="856">
                  <c:v>40109</c:v>
                </c:pt>
                <c:pt idx="857">
                  <c:v>40112</c:v>
                </c:pt>
                <c:pt idx="858">
                  <c:v>40113</c:v>
                </c:pt>
                <c:pt idx="859">
                  <c:v>40114</c:v>
                </c:pt>
                <c:pt idx="860">
                  <c:v>40115</c:v>
                </c:pt>
                <c:pt idx="861">
                  <c:v>40116</c:v>
                </c:pt>
                <c:pt idx="862">
                  <c:v>40119</c:v>
                </c:pt>
                <c:pt idx="863">
                  <c:v>40120</c:v>
                </c:pt>
                <c:pt idx="864">
                  <c:v>40121</c:v>
                </c:pt>
                <c:pt idx="865">
                  <c:v>40122</c:v>
                </c:pt>
                <c:pt idx="866">
                  <c:v>40123</c:v>
                </c:pt>
                <c:pt idx="867">
                  <c:v>40126</c:v>
                </c:pt>
                <c:pt idx="868">
                  <c:v>40127</c:v>
                </c:pt>
                <c:pt idx="869">
                  <c:v>40128</c:v>
                </c:pt>
                <c:pt idx="870">
                  <c:v>40129</c:v>
                </c:pt>
                <c:pt idx="871">
                  <c:v>40130</c:v>
                </c:pt>
                <c:pt idx="872">
                  <c:v>40133</c:v>
                </c:pt>
                <c:pt idx="873">
                  <c:v>40134</c:v>
                </c:pt>
                <c:pt idx="874">
                  <c:v>40135</c:v>
                </c:pt>
                <c:pt idx="875">
                  <c:v>40136</c:v>
                </c:pt>
                <c:pt idx="876">
                  <c:v>40137</c:v>
                </c:pt>
                <c:pt idx="877">
                  <c:v>40140</c:v>
                </c:pt>
                <c:pt idx="878">
                  <c:v>40141</c:v>
                </c:pt>
                <c:pt idx="879">
                  <c:v>40142</c:v>
                </c:pt>
                <c:pt idx="880">
                  <c:v>40144</c:v>
                </c:pt>
                <c:pt idx="881">
                  <c:v>40147</c:v>
                </c:pt>
                <c:pt idx="882">
                  <c:v>40148</c:v>
                </c:pt>
                <c:pt idx="883">
                  <c:v>40149</c:v>
                </c:pt>
                <c:pt idx="884">
                  <c:v>40150</c:v>
                </c:pt>
                <c:pt idx="885">
                  <c:v>40151</c:v>
                </c:pt>
                <c:pt idx="886">
                  <c:v>40154</c:v>
                </c:pt>
                <c:pt idx="887">
                  <c:v>40155</c:v>
                </c:pt>
                <c:pt idx="888">
                  <c:v>40156</c:v>
                </c:pt>
                <c:pt idx="889">
                  <c:v>40157</c:v>
                </c:pt>
                <c:pt idx="890">
                  <c:v>40158</c:v>
                </c:pt>
                <c:pt idx="891">
                  <c:v>40161</c:v>
                </c:pt>
                <c:pt idx="892">
                  <c:v>40162</c:v>
                </c:pt>
                <c:pt idx="893">
                  <c:v>40163</c:v>
                </c:pt>
                <c:pt idx="894">
                  <c:v>40164</c:v>
                </c:pt>
                <c:pt idx="895">
                  <c:v>40165</c:v>
                </c:pt>
                <c:pt idx="896">
                  <c:v>40168</c:v>
                </c:pt>
                <c:pt idx="897">
                  <c:v>40169</c:v>
                </c:pt>
                <c:pt idx="898">
                  <c:v>40170</c:v>
                </c:pt>
                <c:pt idx="899">
                  <c:v>40171</c:v>
                </c:pt>
                <c:pt idx="900">
                  <c:v>40175</c:v>
                </c:pt>
                <c:pt idx="901">
                  <c:v>40176</c:v>
                </c:pt>
                <c:pt idx="902">
                  <c:v>40177</c:v>
                </c:pt>
                <c:pt idx="903">
                  <c:v>40178</c:v>
                </c:pt>
                <c:pt idx="904">
                  <c:v>40182</c:v>
                </c:pt>
                <c:pt idx="905">
                  <c:v>40183</c:v>
                </c:pt>
                <c:pt idx="906">
                  <c:v>40184</c:v>
                </c:pt>
                <c:pt idx="907">
                  <c:v>40185</c:v>
                </c:pt>
                <c:pt idx="908">
                  <c:v>40186</c:v>
                </c:pt>
                <c:pt idx="909">
                  <c:v>40189</c:v>
                </c:pt>
                <c:pt idx="910">
                  <c:v>40190</c:v>
                </c:pt>
                <c:pt idx="911">
                  <c:v>40191</c:v>
                </c:pt>
                <c:pt idx="912">
                  <c:v>40192</c:v>
                </c:pt>
                <c:pt idx="913">
                  <c:v>40193</c:v>
                </c:pt>
                <c:pt idx="914">
                  <c:v>40197</c:v>
                </c:pt>
                <c:pt idx="915">
                  <c:v>40198</c:v>
                </c:pt>
                <c:pt idx="916">
                  <c:v>40199</c:v>
                </c:pt>
                <c:pt idx="917">
                  <c:v>40200</c:v>
                </c:pt>
                <c:pt idx="918">
                  <c:v>40203</c:v>
                </c:pt>
                <c:pt idx="919">
                  <c:v>40204</c:v>
                </c:pt>
                <c:pt idx="920">
                  <c:v>40205</c:v>
                </c:pt>
                <c:pt idx="921">
                  <c:v>40206</c:v>
                </c:pt>
                <c:pt idx="922">
                  <c:v>40207</c:v>
                </c:pt>
                <c:pt idx="923">
                  <c:v>40210</c:v>
                </c:pt>
                <c:pt idx="924">
                  <c:v>40211</c:v>
                </c:pt>
                <c:pt idx="925">
                  <c:v>40212</c:v>
                </c:pt>
                <c:pt idx="926">
                  <c:v>40213</c:v>
                </c:pt>
                <c:pt idx="927">
                  <c:v>40214</c:v>
                </c:pt>
                <c:pt idx="928">
                  <c:v>40217</c:v>
                </c:pt>
                <c:pt idx="929">
                  <c:v>40218</c:v>
                </c:pt>
                <c:pt idx="930">
                  <c:v>40219</c:v>
                </c:pt>
                <c:pt idx="931">
                  <c:v>40220</c:v>
                </c:pt>
                <c:pt idx="932">
                  <c:v>40221</c:v>
                </c:pt>
                <c:pt idx="933">
                  <c:v>40225</c:v>
                </c:pt>
                <c:pt idx="934">
                  <c:v>40226</c:v>
                </c:pt>
                <c:pt idx="935">
                  <c:v>40227</c:v>
                </c:pt>
                <c:pt idx="936">
                  <c:v>40228</c:v>
                </c:pt>
                <c:pt idx="937">
                  <c:v>40231</c:v>
                </c:pt>
                <c:pt idx="938">
                  <c:v>40232</c:v>
                </c:pt>
                <c:pt idx="939">
                  <c:v>40233</c:v>
                </c:pt>
                <c:pt idx="940">
                  <c:v>40234</c:v>
                </c:pt>
                <c:pt idx="941">
                  <c:v>40235</c:v>
                </c:pt>
                <c:pt idx="942">
                  <c:v>40238</c:v>
                </c:pt>
                <c:pt idx="943">
                  <c:v>40239</c:v>
                </c:pt>
                <c:pt idx="944">
                  <c:v>40240</c:v>
                </c:pt>
                <c:pt idx="945">
                  <c:v>40241</c:v>
                </c:pt>
                <c:pt idx="946">
                  <c:v>40242</c:v>
                </c:pt>
                <c:pt idx="947">
                  <c:v>40245</c:v>
                </c:pt>
                <c:pt idx="948">
                  <c:v>40246</c:v>
                </c:pt>
                <c:pt idx="949">
                  <c:v>40247</c:v>
                </c:pt>
                <c:pt idx="950">
                  <c:v>40248</c:v>
                </c:pt>
                <c:pt idx="951">
                  <c:v>40249</c:v>
                </c:pt>
                <c:pt idx="952">
                  <c:v>40252</c:v>
                </c:pt>
                <c:pt idx="953">
                  <c:v>40253</c:v>
                </c:pt>
                <c:pt idx="954">
                  <c:v>40254</c:v>
                </c:pt>
                <c:pt idx="955">
                  <c:v>40255</c:v>
                </c:pt>
                <c:pt idx="956">
                  <c:v>40256</c:v>
                </c:pt>
                <c:pt idx="957">
                  <c:v>40259</c:v>
                </c:pt>
                <c:pt idx="958">
                  <c:v>40260</c:v>
                </c:pt>
                <c:pt idx="959">
                  <c:v>40261</c:v>
                </c:pt>
                <c:pt idx="960">
                  <c:v>40262</c:v>
                </c:pt>
                <c:pt idx="961">
                  <c:v>40263</c:v>
                </c:pt>
                <c:pt idx="962">
                  <c:v>40266</c:v>
                </c:pt>
                <c:pt idx="963">
                  <c:v>40267</c:v>
                </c:pt>
                <c:pt idx="964">
                  <c:v>40268</c:v>
                </c:pt>
                <c:pt idx="965">
                  <c:v>40269</c:v>
                </c:pt>
                <c:pt idx="966">
                  <c:v>40273</c:v>
                </c:pt>
                <c:pt idx="967">
                  <c:v>40274</c:v>
                </c:pt>
                <c:pt idx="968">
                  <c:v>40275</c:v>
                </c:pt>
                <c:pt idx="969">
                  <c:v>40276</c:v>
                </c:pt>
                <c:pt idx="970">
                  <c:v>40277</c:v>
                </c:pt>
                <c:pt idx="971">
                  <c:v>40280</c:v>
                </c:pt>
                <c:pt idx="972">
                  <c:v>40281</c:v>
                </c:pt>
                <c:pt idx="973">
                  <c:v>40282</c:v>
                </c:pt>
                <c:pt idx="974">
                  <c:v>40283</c:v>
                </c:pt>
                <c:pt idx="975">
                  <c:v>40284</c:v>
                </c:pt>
                <c:pt idx="976">
                  <c:v>40287</c:v>
                </c:pt>
                <c:pt idx="977">
                  <c:v>40288</c:v>
                </c:pt>
                <c:pt idx="978">
                  <c:v>40289</c:v>
                </c:pt>
                <c:pt idx="979">
                  <c:v>40290</c:v>
                </c:pt>
                <c:pt idx="980">
                  <c:v>40291</c:v>
                </c:pt>
                <c:pt idx="981">
                  <c:v>40294</c:v>
                </c:pt>
                <c:pt idx="982">
                  <c:v>40295</c:v>
                </c:pt>
                <c:pt idx="983">
                  <c:v>40296</c:v>
                </c:pt>
                <c:pt idx="984">
                  <c:v>40297</c:v>
                </c:pt>
                <c:pt idx="985">
                  <c:v>40298</c:v>
                </c:pt>
                <c:pt idx="986">
                  <c:v>40301</c:v>
                </c:pt>
                <c:pt idx="987">
                  <c:v>40302</c:v>
                </c:pt>
                <c:pt idx="988">
                  <c:v>40303</c:v>
                </c:pt>
                <c:pt idx="989">
                  <c:v>40304</c:v>
                </c:pt>
                <c:pt idx="990">
                  <c:v>40305</c:v>
                </c:pt>
                <c:pt idx="991">
                  <c:v>40308</c:v>
                </c:pt>
                <c:pt idx="992">
                  <c:v>40309</c:v>
                </c:pt>
                <c:pt idx="993">
                  <c:v>40310</c:v>
                </c:pt>
                <c:pt idx="994">
                  <c:v>40311</c:v>
                </c:pt>
                <c:pt idx="995">
                  <c:v>40312</c:v>
                </c:pt>
                <c:pt idx="996">
                  <c:v>40315</c:v>
                </c:pt>
                <c:pt idx="997">
                  <c:v>40316</c:v>
                </c:pt>
                <c:pt idx="998">
                  <c:v>40317</c:v>
                </c:pt>
                <c:pt idx="999">
                  <c:v>40318</c:v>
                </c:pt>
                <c:pt idx="1000">
                  <c:v>40319</c:v>
                </c:pt>
                <c:pt idx="1001">
                  <c:v>40322</c:v>
                </c:pt>
                <c:pt idx="1002">
                  <c:v>40323</c:v>
                </c:pt>
                <c:pt idx="1003">
                  <c:v>40324</c:v>
                </c:pt>
                <c:pt idx="1004">
                  <c:v>40325</c:v>
                </c:pt>
                <c:pt idx="1005">
                  <c:v>40326</c:v>
                </c:pt>
                <c:pt idx="1006">
                  <c:v>40330</c:v>
                </c:pt>
                <c:pt idx="1007">
                  <c:v>40331</c:v>
                </c:pt>
                <c:pt idx="1008">
                  <c:v>40332</c:v>
                </c:pt>
                <c:pt idx="1009">
                  <c:v>40333</c:v>
                </c:pt>
                <c:pt idx="1010">
                  <c:v>40336</c:v>
                </c:pt>
                <c:pt idx="1011">
                  <c:v>40337</c:v>
                </c:pt>
                <c:pt idx="1012">
                  <c:v>40338</c:v>
                </c:pt>
                <c:pt idx="1013">
                  <c:v>40339</c:v>
                </c:pt>
                <c:pt idx="1014">
                  <c:v>40340</c:v>
                </c:pt>
                <c:pt idx="1015">
                  <c:v>40343</c:v>
                </c:pt>
                <c:pt idx="1016">
                  <c:v>40344</c:v>
                </c:pt>
                <c:pt idx="1017">
                  <c:v>40345</c:v>
                </c:pt>
                <c:pt idx="1018">
                  <c:v>40346</c:v>
                </c:pt>
                <c:pt idx="1019">
                  <c:v>40347</c:v>
                </c:pt>
                <c:pt idx="1020">
                  <c:v>40350</c:v>
                </c:pt>
                <c:pt idx="1021">
                  <c:v>40351</c:v>
                </c:pt>
                <c:pt idx="1022">
                  <c:v>40352</c:v>
                </c:pt>
                <c:pt idx="1023">
                  <c:v>40353</c:v>
                </c:pt>
                <c:pt idx="1024">
                  <c:v>40354</c:v>
                </c:pt>
                <c:pt idx="1025">
                  <c:v>40357</c:v>
                </c:pt>
                <c:pt idx="1026">
                  <c:v>40358</c:v>
                </c:pt>
                <c:pt idx="1027">
                  <c:v>40359</c:v>
                </c:pt>
                <c:pt idx="1028">
                  <c:v>40360</c:v>
                </c:pt>
                <c:pt idx="1029">
                  <c:v>40361</c:v>
                </c:pt>
                <c:pt idx="1030">
                  <c:v>40365</c:v>
                </c:pt>
                <c:pt idx="1031">
                  <c:v>40366</c:v>
                </c:pt>
                <c:pt idx="1032">
                  <c:v>40367</c:v>
                </c:pt>
                <c:pt idx="1033">
                  <c:v>40368</c:v>
                </c:pt>
                <c:pt idx="1034">
                  <c:v>40371</c:v>
                </c:pt>
                <c:pt idx="1035">
                  <c:v>40372</c:v>
                </c:pt>
                <c:pt idx="1036">
                  <c:v>40373</c:v>
                </c:pt>
                <c:pt idx="1037">
                  <c:v>40374</c:v>
                </c:pt>
                <c:pt idx="1038">
                  <c:v>40375</c:v>
                </c:pt>
                <c:pt idx="1039">
                  <c:v>40378</c:v>
                </c:pt>
                <c:pt idx="1040">
                  <c:v>40379</c:v>
                </c:pt>
                <c:pt idx="1041">
                  <c:v>40380</c:v>
                </c:pt>
                <c:pt idx="1042">
                  <c:v>40381</c:v>
                </c:pt>
                <c:pt idx="1043">
                  <c:v>40382</c:v>
                </c:pt>
                <c:pt idx="1044">
                  <c:v>40385</c:v>
                </c:pt>
                <c:pt idx="1045">
                  <c:v>40386</c:v>
                </c:pt>
                <c:pt idx="1046">
                  <c:v>40387</c:v>
                </c:pt>
                <c:pt idx="1047">
                  <c:v>40388</c:v>
                </c:pt>
                <c:pt idx="1048">
                  <c:v>40389</c:v>
                </c:pt>
                <c:pt idx="1049">
                  <c:v>40392</c:v>
                </c:pt>
                <c:pt idx="1050">
                  <c:v>40393</c:v>
                </c:pt>
                <c:pt idx="1051">
                  <c:v>40394</c:v>
                </c:pt>
                <c:pt idx="1052">
                  <c:v>40395</c:v>
                </c:pt>
                <c:pt idx="1053">
                  <c:v>40396</c:v>
                </c:pt>
                <c:pt idx="1054">
                  <c:v>40399</c:v>
                </c:pt>
                <c:pt idx="1055">
                  <c:v>40400</c:v>
                </c:pt>
                <c:pt idx="1056">
                  <c:v>40401</c:v>
                </c:pt>
                <c:pt idx="1057">
                  <c:v>40402</c:v>
                </c:pt>
                <c:pt idx="1058">
                  <c:v>40403</c:v>
                </c:pt>
                <c:pt idx="1059">
                  <c:v>40406</c:v>
                </c:pt>
                <c:pt idx="1060">
                  <c:v>40407</c:v>
                </c:pt>
                <c:pt idx="1061">
                  <c:v>40408</c:v>
                </c:pt>
                <c:pt idx="1062">
                  <c:v>40409</c:v>
                </c:pt>
                <c:pt idx="1063">
                  <c:v>40410</c:v>
                </c:pt>
                <c:pt idx="1064">
                  <c:v>40413</c:v>
                </c:pt>
                <c:pt idx="1065">
                  <c:v>40414</c:v>
                </c:pt>
                <c:pt idx="1066">
                  <c:v>40415</c:v>
                </c:pt>
                <c:pt idx="1067">
                  <c:v>40416</c:v>
                </c:pt>
                <c:pt idx="1068">
                  <c:v>40417</c:v>
                </c:pt>
                <c:pt idx="1069">
                  <c:v>40420</c:v>
                </c:pt>
                <c:pt idx="1070">
                  <c:v>40421</c:v>
                </c:pt>
                <c:pt idx="1071">
                  <c:v>40422</c:v>
                </c:pt>
                <c:pt idx="1072">
                  <c:v>40423</c:v>
                </c:pt>
                <c:pt idx="1073">
                  <c:v>40424</c:v>
                </c:pt>
                <c:pt idx="1074">
                  <c:v>40428</c:v>
                </c:pt>
                <c:pt idx="1075">
                  <c:v>40429</c:v>
                </c:pt>
                <c:pt idx="1076">
                  <c:v>40430</c:v>
                </c:pt>
                <c:pt idx="1077">
                  <c:v>40431</c:v>
                </c:pt>
                <c:pt idx="1078">
                  <c:v>40434</c:v>
                </c:pt>
                <c:pt idx="1079">
                  <c:v>40435</c:v>
                </c:pt>
                <c:pt idx="1080">
                  <c:v>40436</c:v>
                </c:pt>
                <c:pt idx="1081">
                  <c:v>40437</c:v>
                </c:pt>
                <c:pt idx="1082">
                  <c:v>40438</c:v>
                </c:pt>
                <c:pt idx="1083">
                  <c:v>40441</c:v>
                </c:pt>
                <c:pt idx="1084">
                  <c:v>40442</c:v>
                </c:pt>
                <c:pt idx="1085">
                  <c:v>40443</c:v>
                </c:pt>
                <c:pt idx="1086">
                  <c:v>40444</c:v>
                </c:pt>
                <c:pt idx="1087">
                  <c:v>40445</c:v>
                </c:pt>
                <c:pt idx="1088">
                  <c:v>40448</c:v>
                </c:pt>
                <c:pt idx="1089">
                  <c:v>40449</c:v>
                </c:pt>
                <c:pt idx="1090">
                  <c:v>40450</c:v>
                </c:pt>
                <c:pt idx="1091">
                  <c:v>40451</c:v>
                </c:pt>
                <c:pt idx="1092">
                  <c:v>40452</c:v>
                </c:pt>
                <c:pt idx="1093">
                  <c:v>40455</c:v>
                </c:pt>
                <c:pt idx="1094">
                  <c:v>40456</c:v>
                </c:pt>
                <c:pt idx="1095">
                  <c:v>40457</c:v>
                </c:pt>
                <c:pt idx="1096">
                  <c:v>40458</c:v>
                </c:pt>
                <c:pt idx="1097">
                  <c:v>40459</c:v>
                </c:pt>
                <c:pt idx="1098">
                  <c:v>40462</c:v>
                </c:pt>
                <c:pt idx="1099">
                  <c:v>40463</c:v>
                </c:pt>
                <c:pt idx="1100">
                  <c:v>40464</c:v>
                </c:pt>
                <c:pt idx="1101">
                  <c:v>40465</c:v>
                </c:pt>
                <c:pt idx="1102">
                  <c:v>40466</c:v>
                </c:pt>
                <c:pt idx="1103">
                  <c:v>40469</c:v>
                </c:pt>
                <c:pt idx="1104">
                  <c:v>40470</c:v>
                </c:pt>
                <c:pt idx="1105">
                  <c:v>40471</c:v>
                </c:pt>
                <c:pt idx="1106">
                  <c:v>40472</c:v>
                </c:pt>
                <c:pt idx="1107">
                  <c:v>40473</c:v>
                </c:pt>
                <c:pt idx="1108">
                  <c:v>40476</c:v>
                </c:pt>
                <c:pt idx="1109">
                  <c:v>40477</c:v>
                </c:pt>
                <c:pt idx="1110">
                  <c:v>40478</c:v>
                </c:pt>
                <c:pt idx="1111">
                  <c:v>40479</c:v>
                </c:pt>
                <c:pt idx="1112">
                  <c:v>40480</c:v>
                </c:pt>
                <c:pt idx="1113">
                  <c:v>40483</c:v>
                </c:pt>
                <c:pt idx="1114">
                  <c:v>40484</c:v>
                </c:pt>
                <c:pt idx="1115">
                  <c:v>40485</c:v>
                </c:pt>
                <c:pt idx="1116">
                  <c:v>40486</c:v>
                </c:pt>
                <c:pt idx="1117">
                  <c:v>40487</c:v>
                </c:pt>
                <c:pt idx="1118">
                  <c:v>40490</c:v>
                </c:pt>
                <c:pt idx="1119">
                  <c:v>40491</c:v>
                </c:pt>
                <c:pt idx="1120">
                  <c:v>40492</c:v>
                </c:pt>
                <c:pt idx="1121">
                  <c:v>40493</c:v>
                </c:pt>
                <c:pt idx="1122">
                  <c:v>40494</c:v>
                </c:pt>
                <c:pt idx="1123">
                  <c:v>40497</c:v>
                </c:pt>
                <c:pt idx="1124">
                  <c:v>40498</c:v>
                </c:pt>
                <c:pt idx="1125">
                  <c:v>40499</c:v>
                </c:pt>
                <c:pt idx="1126">
                  <c:v>40500</c:v>
                </c:pt>
                <c:pt idx="1127">
                  <c:v>40501</c:v>
                </c:pt>
                <c:pt idx="1128">
                  <c:v>40504</c:v>
                </c:pt>
                <c:pt idx="1129">
                  <c:v>40505</c:v>
                </c:pt>
                <c:pt idx="1130">
                  <c:v>40506</c:v>
                </c:pt>
                <c:pt idx="1131">
                  <c:v>40508</c:v>
                </c:pt>
                <c:pt idx="1132">
                  <c:v>40511</c:v>
                </c:pt>
                <c:pt idx="1133">
                  <c:v>40512</c:v>
                </c:pt>
                <c:pt idx="1134">
                  <c:v>40513</c:v>
                </c:pt>
                <c:pt idx="1135">
                  <c:v>40514</c:v>
                </c:pt>
                <c:pt idx="1136">
                  <c:v>40515</c:v>
                </c:pt>
                <c:pt idx="1137">
                  <c:v>40518</c:v>
                </c:pt>
                <c:pt idx="1138">
                  <c:v>40519</c:v>
                </c:pt>
                <c:pt idx="1139">
                  <c:v>40520</c:v>
                </c:pt>
                <c:pt idx="1140">
                  <c:v>40521</c:v>
                </c:pt>
                <c:pt idx="1141">
                  <c:v>40522</c:v>
                </c:pt>
                <c:pt idx="1142">
                  <c:v>40525</c:v>
                </c:pt>
                <c:pt idx="1143">
                  <c:v>40526</c:v>
                </c:pt>
                <c:pt idx="1144">
                  <c:v>40527</c:v>
                </c:pt>
                <c:pt idx="1145">
                  <c:v>40528</c:v>
                </c:pt>
                <c:pt idx="1146">
                  <c:v>40529</c:v>
                </c:pt>
                <c:pt idx="1147">
                  <c:v>40532</c:v>
                </c:pt>
                <c:pt idx="1148">
                  <c:v>40533</c:v>
                </c:pt>
                <c:pt idx="1149">
                  <c:v>40534</c:v>
                </c:pt>
                <c:pt idx="1150">
                  <c:v>40535</c:v>
                </c:pt>
                <c:pt idx="1151">
                  <c:v>40539</c:v>
                </c:pt>
                <c:pt idx="1152">
                  <c:v>40540</c:v>
                </c:pt>
                <c:pt idx="1153">
                  <c:v>40541</c:v>
                </c:pt>
                <c:pt idx="1154">
                  <c:v>40542</c:v>
                </c:pt>
                <c:pt idx="1155">
                  <c:v>40543</c:v>
                </c:pt>
                <c:pt idx="1156">
                  <c:v>40546</c:v>
                </c:pt>
                <c:pt idx="1157">
                  <c:v>40547</c:v>
                </c:pt>
                <c:pt idx="1158">
                  <c:v>40548</c:v>
                </c:pt>
                <c:pt idx="1159">
                  <c:v>40549</c:v>
                </c:pt>
                <c:pt idx="1160">
                  <c:v>40550</c:v>
                </c:pt>
                <c:pt idx="1161">
                  <c:v>40553</c:v>
                </c:pt>
                <c:pt idx="1162">
                  <c:v>40554</c:v>
                </c:pt>
                <c:pt idx="1163">
                  <c:v>40555</c:v>
                </c:pt>
                <c:pt idx="1164">
                  <c:v>40556</c:v>
                </c:pt>
                <c:pt idx="1165">
                  <c:v>40557</c:v>
                </c:pt>
                <c:pt idx="1166">
                  <c:v>40561</c:v>
                </c:pt>
                <c:pt idx="1167">
                  <c:v>40562</c:v>
                </c:pt>
                <c:pt idx="1168">
                  <c:v>40563</c:v>
                </c:pt>
                <c:pt idx="1169">
                  <c:v>40564</c:v>
                </c:pt>
                <c:pt idx="1170">
                  <c:v>40567</c:v>
                </c:pt>
                <c:pt idx="1171">
                  <c:v>40568</c:v>
                </c:pt>
                <c:pt idx="1172">
                  <c:v>40569</c:v>
                </c:pt>
                <c:pt idx="1173">
                  <c:v>40570</c:v>
                </c:pt>
                <c:pt idx="1174">
                  <c:v>40571</c:v>
                </c:pt>
                <c:pt idx="1175">
                  <c:v>40574</c:v>
                </c:pt>
                <c:pt idx="1176">
                  <c:v>40575</c:v>
                </c:pt>
                <c:pt idx="1177">
                  <c:v>40576</c:v>
                </c:pt>
                <c:pt idx="1178">
                  <c:v>40577</c:v>
                </c:pt>
                <c:pt idx="1179">
                  <c:v>40578</c:v>
                </c:pt>
                <c:pt idx="1180">
                  <c:v>40581</c:v>
                </c:pt>
                <c:pt idx="1181">
                  <c:v>40582</c:v>
                </c:pt>
                <c:pt idx="1182">
                  <c:v>40583</c:v>
                </c:pt>
                <c:pt idx="1183">
                  <c:v>40584</c:v>
                </c:pt>
                <c:pt idx="1184">
                  <c:v>40585</c:v>
                </c:pt>
                <c:pt idx="1185">
                  <c:v>40588</c:v>
                </c:pt>
                <c:pt idx="1186">
                  <c:v>40589</c:v>
                </c:pt>
                <c:pt idx="1187">
                  <c:v>40590</c:v>
                </c:pt>
                <c:pt idx="1188">
                  <c:v>40591</c:v>
                </c:pt>
                <c:pt idx="1189">
                  <c:v>40592</c:v>
                </c:pt>
                <c:pt idx="1190">
                  <c:v>40596</c:v>
                </c:pt>
                <c:pt idx="1191">
                  <c:v>40597</c:v>
                </c:pt>
                <c:pt idx="1192">
                  <c:v>40598</c:v>
                </c:pt>
                <c:pt idx="1193">
                  <c:v>40599</c:v>
                </c:pt>
                <c:pt idx="1194">
                  <c:v>40602</c:v>
                </c:pt>
                <c:pt idx="1195">
                  <c:v>40603</c:v>
                </c:pt>
                <c:pt idx="1196">
                  <c:v>40604</c:v>
                </c:pt>
                <c:pt idx="1197">
                  <c:v>40605</c:v>
                </c:pt>
                <c:pt idx="1198">
                  <c:v>40606</c:v>
                </c:pt>
                <c:pt idx="1199">
                  <c:v>40609</c:v>
                </c:pt>
                <c:pt idx="1200">
                  <c:v>40610</c:v>
                </c:pt>
                <c:pt idx="1201">
                  <c:v>40611</c:v>
                </c:pt>
                <c:pt idx="1202">
                  <c:v>40612</c:v>
                </c:pt>
                <c:pt idx="1203">
                  <c:v>40613</c:v>
                </c:pt>
                <c:pt idx="1204">
                  <c:v>40616</c:v>
                </c:pt>
                <c:pt idx="1205">
                  <c:v>40617</c:v>
                </c:pt>
                <c:pt idx="1206">
                  <c:v>40618</c:v>
                </c:pt>
                <c:pt idx="1207">
                  <c:v>40619</c:v>
                </c:pt>
                <c:pt idx="1208">
                  <c:v>40620</c:v>
                </c:pt>
                <c:pt idx="1209">
                  <c:v>40623</c:v>
                </c:pt>
                <c:pt idx="1210">
                  <c:v>40624</c:v>
                </c:pt>
                <c:pt idx="1211">
                  <c:v>40625</c:v>
                </c:pt>
                <c:pt idx="1212">
                  <c:v>40626</c:v>
                </c:pt>
                <c:pt idx="1213">
                  <c:v>40627</c:v>
                </c:pt>
                <c:pt idx="1214">
                  <c:v>40630</c:v>
                </c:pt>
                <c:pt idx="1215">
                  <c:v>40631</c:v>
                </c:pt>
                <c:pt idx="1216">
                  <c:v>40632</c:v>
                </c:pt>
                <c:pt idx="1217">
                  <c:v>40633</c:v>
                </c:pt>
                <c:pt idx="1218">
                  <c:v>40634</c:v>
                </c:pt>
                <c:pt idx="1219">
                  <c:v>40637</c:v>
                </c:pt>
                <c:pt idx="1220">
                  <c:v>40638</c:v>
                </c:pt>
                <c:pt idx="1221">
                  <c:v>40639</c:v>
                </c:pt>
                <c:pt idx="1222">
                  <c:v>40640</c:v>
                </c:pt>
                <c:pt idx="1223">
                  <c:v>40641</c:v>
                </c:pt>
                <c:pt idx="1224">
                  <c:v>40644</c:v>
                </c:pt>
                <c:pt idx="1225">
                  <c:v>40645</c:v>
                </c:pt>
                <c:pt idx="1226">
                  <c:v>40646</c:v>
                </c:pt>
                <c:pt idx="1227">
                  <c:v>40647</c:v>
                </c:pt>
                <c:pt idx="1228">
                  <c:v>40648</c:v>
                </c:pt>
                <c:pt idx="1229">
                  <c:v>40651</c:v>
                </c:pt>
                <c:pt idx="1230">
                  <c:v>40652</c:v>
                </c:pt>
                <c:pt idx="1231">
                  <c:v>40653</c:v>
                </c:pt>
                <c:pt idx="1232">
                  <c:v>40654</c:v>
                </c:pt>
                <c:pt idx="1233">
                  <c:v>40658</c:v>
                </c:pt>
                <c:pt idx="1234">
                  <c:v>40659</c:v>
                </c:pt>
                <c:pt idx="1235">
                  <c:v>40660</c:v>
                </c:pt>
                <c:pt idx="1236">
                  <c:v>40661</c:v>
                </c:pt>
                <c:pt idx="1237">
                  <c:v>40662</c:v>
                </c:pt>
                <c:pt idx="1238">
                  <c:v>40665</c:v>
                </c:pt>
                <c:pt idx="1239">
                  <c:v>40666</c:v>
                </c:pt>
                <c:pt idx="1240">
                  <c:v>40667</c:v>
                </c:pt>
                <c:pt idx="1241">
                  <c:v>40668</c:v>
                </c:pt>
                <c:pt idx="1242">
                  <c:v>40669</c:v>
                </c:pt>
                <c:pt idx="1243">
                  <c:v>40672</c:v>
                </c:pt>
                <c:pt idx="1244">
                  <c:v>40673</c:v>
                </c:pt>
                <c:pt idx="1245">
                  <c:v>40674</c:v>
                </c:pt>
                <c:pt idx="1246">
                  <c:v>40675</c:v>
                </c:pt>
                <c:pt idx="1247">
                  <c:v>40676</c:v>
                </c:pt>
                <c:pt idx="1248">
                  <c:v>40679</c:v>
                </c:pt>
                <c:pt idx="1249">
                  <c:v>40680</c:v>
                </c:pt>
                <c:pt idx="1250">
                  <c:v>40681</c:v>
                </c:pt>
                <c:pt idx="1251">
                  <c:v>40682</c:v>
                </c:pt>
                <c:pt idx="1252">
                  <c:v>40683</c:v>
                </c:pt>
                <c:pt idx="1253">
                  <c:v>40686</c:v>
                </c:pt>
                <c:pt idx="1254">
                  <c:v>40687</c:v>
                </c:pt>
                <c:pt idx="1255">
                  <c:v>40688</c:v>
                </c:pt>
                <c:pt idx="1256">
                  <c:v>40689</c:v>
                </c:pt>
                <c:pt idx="1257">
                  <c:v>40690</c:v>
                </c:pt>
                <c:pt idx="1258">
                  <c:v>40694</c:v>
                </c:pt>
                <c:pt idx="1259">
                  <c:v>40695</c:v>
                </c:pt>
                <c:pt idx="1260">
                  <c:v>40696</c:v>
                </c:pt>
                <c:pt idx="1261">
                  <c:v>40697</c:v>
                </c:pt>
                <c:pt idx="1262">
                  <c:v>40700</c:v>
                </c:pt>
                <c:pt idx="1263">
                  <c:v>40701</c:v>
                </c:pt>
                <c:pt idx="1264">
                  <c:v>40702</c:v>
                </c:pt>
                <c:pt idx="1265">
                  <c:v>40703</c:v>
                </c:pt>
                <c:pt idx="1266">
                  <c:v>40704</c:v>
                </c:pt>
                <c:pt idx="1267">
                  <c:v>40707</c:v>
                </c:pt>
                <c:pt idx="1268">
                  <c:v>40708</c:v>
                </c:pt>
                <c:pt idx="1269">
                  <c:v>40709</c:v>
                </c:pt>
                <c:pt idx="1270">
                  <c:v>40710</c:v>
                </c:pt>
                <c:pt idx="1271">
                  <c:v>40711</c:v>
                </c:pt>
                <c:pt idx="1272">
                  <c:v>40714</c:v>
                </c:pt>
                <c:pt idx="1273">
                  <c:v>40715</c:v>
                </c:pt>
                <c:pt idx="1274">
                  <c:v>40716</c:v>
                </c:pt>
                <c:pt idx="1275">
                  <c:v>40717</c:v>
                </c:pt>
                <c:pt idx="1276">
                  <c:v>40718</c:v>
                </c:pt>
                <c:pt idx="1277">
                  <c:v>40721</c:v>
                </c:pt>
                <c:pt idx="1278">
                  <c:v>40722</c:v>
                </c:pt>
                <c:pt idx="1279">
                  <c:v>40723</c:v>
                </c:pt>
                <c:pt idx="1280">
                  <c:v>40724</c:v>
                </c:pt>
                <c:pt idx="1281">
                  <c:v>40725</c:v>
                </c:pt>
                <c:pt idx="1282">
                  <c:v>40729</c:v>
                </c:pt>
                <c:pt idx="1283">
                  <c:v>40730</c:v>
                </c:pt>
                <c:pt idx="1284">
                  <c:v>40731</c:v>
                </c:pt>
                <c:pt idx="1285">
                  <c:v>40732</c:v>
                </c:pt>
                <c:pt idx="1286">
                  <c:v>40735</c:v>
                </c:pt>
                <c:pt idx="1287">
                  <c:v>40736</c:v>
                </c:pt>
                <c:pt idx="1288">
                  <c:v>40737</c:v>
                </c:pt>
                <c:pt idx="1289">
                  <c:v>40738</c:v>
                </c:pt>
                <c:pt idx="1290">
                  <c:v>40739</c:v>
                </c:pt>
                <c:pt idx="1291">
                  <c:v>40742</c:v>
                </c:pt>
                <c:pt idx="1292">
                  <c:v>40743</c:v>
                </c:pt>
                <c:pt idx="1293">
                  <c:v>40744</c:v>
                </c:pt>
                <c:pt idx="1294">
                  <c:v>40745</c:v>
                </c:pt>
                <c:pt idx="1295">
                  <c:v>40746</c:v>
                </c:pt>
                <c:pt idx="1296">
                  <c:v>40749</c:v>
                </c:pt>
                <c:pt idx="1297">
                  <c:v>40750</c:v>
                </c:pt>
                <c:pt idx="1298">
                  <c:v>40751</c:v>
                </c:pt>
                <c:pt idx="1299">
                  <c:v>40752</c:v>
                </c:pt>
                <c:pt idx="1300">
                  <c:v>40753</c:v>
                </c:pt>
                <c:pt idx="1301">
                  <c:v>40756</c:v>
                </c:pt>
                <c:pt idx="1302">
                  <c:v>40757</c:v>
                </c:pt>
                <c:pt idx="1303">
                  <c:v>40758</c:v>
                </c:pt>
                <c:pt idx="1304">
                  <c:v>40759</c:v>
                </c:pt>
                <c:pt idx="1305">
                  <c:v>40760</c:v>
                </c:pt>
                <c:pt idx="1306">
                  <c:v>40763</c:v>
                </c:pt>
                <c:pt idx="1307">
                  <c:v>40764</c:v>
                </c:pt>
                <c:pt idx="1308">
                  <c:v>40765</c:v>
                </c:pt>
                <c:pt idx="1309">
                  <c:v>40766</c:v>
                </c:pt>
                <c:pt idx="1310">
                  <c:v>40767</c:v>
                </c:pt>
                <c:pt idx="1311">
                  <c:v>40770</c:v>
                </c:pt>
                <c:pt idx="1312">
                  <c:v>40771</c:v>
                </c:pt>
                <c:pt idx="1313">
                  <c:v>40772</c:v>
                </c:pt>
                <c:pt idx="1314">
                  <c:v>40773</c:v>
                </c:pt>
                <c:pt idx="1315">
                  <c:v>40774</c:v>
                </c:pt>
                <c:pt idx="1316">
                  <c:v>40777</c:v>
                </c:pt>
                <c:pt idx="1317">
                  <c:v>40778</c:v>
                </c:pt>
                <c:pt idx="1318">
                  <c:v>40779</c:v>
                </c:pt>
                <c:pt idx="1319">
                  <c:v>40780</c:v>
                </c:pt>
                <c:pt idx="1320">
                  <c:v>40781</c:v>
                </c:pt>
                <c:pt idx="1321">
                  <c:v>40784</c:v>
                </c:pt>
                <c:pt idx="1322">
                  <c:v>40785</c:v>
                </c:pt>
                <c:pt idx="1323">
                  <c:v>40786</c:v>
                </c:pt>
                <c:pt idx="1324">
                  <c:v>40787</c:v>
                </c:pt>
                <c:pt idx="1325">
                  <c:v>40788</c:v>
                </c:pt>
                <c:pt idx="1326">
                  <c:v>40792</c:v>
                </c:pt>
                <c:pt idx="1327">
                  <c:v>40793</c:v>
                </c:pt>
                <c:pt idx="1328">
                  <c:v>40794</c:v>
                </c:pt>
                <c:pt idx="1329">
                  <c:v>40795</c:v>
                </c:pt>
                <c:pt idx="1330">
                  <c:v>40798</c:v>
                </c:pt>
                <c:pt idx="1331">
                  <c:v>40799</c:v>
                </c:pt>
                <c:pt idx="1332">
                  <c:v>40800</c:v>
                </c:pt>
                <c:pt idx="1333">
                  <c:v>40801</c:v>
                </c:pt>
                <c:pt idx="1334">
                  <c:v>40802</c:v>
                </c:pt>
                <c:pt idx="1335">
                  <c:v>40805</c:v>
                </c:pt>
                <c:pt idx="1336">
                  <c:v>40806</c:v>
                </c:pt>
                <c:pt idx="1337">
                  <c:v>40807</c:v>
                </c:pt>
                <c:pt idx="1338">
                  <c:v>40808</c:v>
                </c:pt>
                <c:pt idx="1339">
                  <c:v>40809</c:v>
                </c:pt>
                <c:pt idx="1340">
                  <c:v>40812</c:v>
                </c:pt>
                <c:pt idx="1341">
                  <c:v>40813</c:v>
                </c:pt>
                <c:pt idx="1342">
                  <c:v>40814</c:v>
                </c:pt>
                <c:pt idx="1343">
                  <c:v>40815</c:v>
                </c:pt>
                <c:pt idx="1344">
                  <c:v>40816</c:v>
                </c:pt>
                <c:pt idx="1345">
                  <c:v>40819</c:v>
                </c:pt>
                <c:pt idx="1346">
                  <c:v>40820</c:v>
                </c:pt>
                <c:pt idx="1347">
                  <c:v>40821</c:v>
                </c:pt>
                <c:pt idx="1348">
                  <c:v>40822</c:v>
                </c:pt>
                <c:pt idx="1349">
                  <c:v>40823</c:v>
                </c:pt>
                <c:pt idx="1350">
                  <c:v>40826</c:v>
                </c:pt>
                <c:pt idx="1351">
                  <c:v>40827</c:v>
                </c:pt>
                <c:pt idx="1352">
                  <c:v>40828</c:v>
                </c:pt>
                <c:pt idx="1353">
                  <c:v>40829</c:v>
                </c:pt>
                <c:pt idx="1354">
                  <c:v>40830</c:v>
                </c:pt>
                <c:pt idx="1355">
                  <c:v>40833</c:v>
                </c:pt>
                <c:pt idx="1356">
                  <c:v>40834</c:v>
                </c:pt>
                <c:pt idx="1357">
                  <c:v>40835</c:v>
                </c:pt>
                <c:pt idx="1358">
                  <c:v>40836</c:v>
                </c:pt>
                <c:pt idx="1359">
                  <c:v>40837</c:v>
                </c:pt>
                <c:pt idx="1360">
                  <c:v>40840</c:v>
                </c:pt>
                <c:pt idx="1361">
                  <c:v>40841</c:v>
                </c:pt>
                <c:pt idx="1362">
                  <c:v>40842</c:v>
                </c:pt>
                <c:pt idx="1363">
                  <c:v>40843</c:v>
                </c:pt>
                <c:pt idx="1364">
                  <c:v>40844</c:v>
                </c:pt>
                <c:pt idx="1365">
                  <c:v>40847</c:v>
                </c:pt>
                <c:pt idx="1366">
                  <c:v>40848</c:v>
                </c:pt>
                <c:pt idx="1367">
                  <c:v>40849</c:v>
                </c:pt>
                <c:pt idx="1368">
                  <c:v>40850</c:v>
                </c:pt>
                <c:pt idx="1369">
                  <c:v>40851</c:v>
                </c:pt>
                <c:pt idx="1370">
                  <c:v>40854</c:v>
                </c:pt>
                <c:pt idx="1371">
                  <c:v>40855</c:v>
                </c:pt>
                <c:pt idx="1372">
                  <c:v>40856</c:v>
                </c:pt>
                <c:pt idx="1373">
                  <c:v>40857</c:v>
                </c:pt>
                <c:pt idx="1374">
                  <c:v>40858</c:v>
                </c:pt>
                <c:pt idx="1375">
                  <c:v>40861</c:v>
                </c:pt>
                <c:pt idx="1376">
                  <c:v>40862</c:v>
                </c:pt>
                <c:pt idx="1377">
                  <c:v>40863</c:v>
                </c:pt>
                <c:pt idx="1378">
                  <c:v>40864</c:v>
                </c:pt>
                <c:pt idx="1379">
                  <c:v>40865</c:v>
                </c:pt>
                <c:pt idx="1380">
                  <c:v>40868</c:v>
                </c:pt>
                <c:pt idx="1381">
                  <c:v>40869</c:v>
                </c:pt>
                <c:pt idx="1382">
                  <c:v>40870</c:v>
                </c:pt>
                <c:pt idx="1383">
                  <c:v>40872</c:v>
                </c:pt>
                <c:pt idx="1384">
                  <c:v>40875</c:v>
                </c:pt>
                <c:pt idx="1385">
                  <c:v>40876</c:v>
                </c:pt>
                <c:pt idx="1386">
                  <c:v>40877</c:v>
                </c:pt>
                <c:pt idx="1387">
                  <c:v>40878</c:v>
                </c:pt>
                <c:pt idx="1388">
                  <c:v>40879</c:v>
                </c:pt>
                <c:pt idx="1389">
                  <c:v>40882</c:v>
                </c:pt>
                <c:pt idx="1390">
                  <c:v>40883</c:v>
                </c:pt>
                <c:pt idx="1391">
                  <c:v>40884</c:v>
                </c:pt>
                <c:pt idx="1392">
                  <c:v>40885</c:v>
                </c:pt>
                <c:pt idx="1393">
                  <c:v>40886</c:v>
                </c:pt>
                <c:pt idx="1394">
                  <c:v>40889</c:v>
                </c:pt>
                <c:pt idx="1395">
                  <c:v>40890</c:v>
                </c:pt>
                <c:pt idx="1396">
                  <c:v>40891</c:v>
                </c:pt>
                <c:pt idx="1397">
                  <c:v>40892</c:v>
                </c:pt>
                <c:pt idx="1398">
                  <c:v>40893</c:v>
                </c:pt>
                <c:pt idx="1399">
                  <c:v>40896</c:v>
                </c:pt>
                <c:pt idx="1400">
                  <c:v>40897</c:v>
                </c:pt>
                <c:pt idx="1401">
                  <c:v>40898</c:v>
                </c:pt>
                <c:pt idx="1402">
                  <c:v>40899</c:v>
                </c:pt>
                <c:pt idx="1403">
                  <c:v>40900</c:v>
                </c:pt>
                <c:pt idx="1404">
                  <c:v>40904</c:v>
                </c:pt>
                <c:pt idx="1405">
                  <c:v>40905</c:v>
                </c:pt>
                <c:pt idx="1406">
                  <c:v>40906</c:v>
                </c:pt>
                <c:pt idx="1407">
                  <c:v>40907</c:v>
                </c:pt>
                <c:pt idx="1408">
                  <c:v>40911</c:v>
                </c:pt>
                <c:pt idx="1409">
                  <c:v>40912</c:v>
                </c:pt>
                <c:pt idx="1410">
                  <c:v>40913</c:v>
                </c:pt>
                <c:pt idx="1411">
                  <c:v>40914</c:v>
                </c:pt>
                <c:pt idx="1412">
                  <c:v>40917</c:v>
                </c:pt>
                <c:pt idx="1413">
                  <c:v>40918</c:v>
                </c:pt>
                <c:pt idx="1414">
                  <c:v>40919</c:v>
                </c:pt>
                <c:pt idx="1415">
                  <c:v>40920</c:v>
                </c:pt>
                <c:pt idx="1416">
                  <c:v>40921</c:v>
                </c:pt>
                <c:pt idx="1417">
                  <c:v>40925</c:v>
                </c:pt>
                <c:pt idx="1418">
                  <c:v>40926</c:v>
                </c:pt>
                <c:pt idx="1419">
                  <c:v>40927</c:v>
                </c:pt>
                <c:pt idx="1420">
                  <c:v>40928</c:v>
                </c:pt>
                <c:pt idx="1421">
                  <c:v>40931</c:v>
                </c:pt>
                <c:pt idx="1422">
                  <c:v>40932</c:v>
                </c:pt>
                <c:pt idx="1423">
                  <c:v>40933</c:v>
                </c:pt>
                <c:pt idx="1424">
                  <c:v>40934</c:v>
                </c:pt>
                <c:pt idx="1425">
                  <c:v>40935</c:v>
                </c:pt>
                <c:pt idx="1426">
                  <c:v>40938</c:v>
                </c:pt>
                <c:pt idx="1427">
                  <c:v>40939</c:v>
                </c:pt>
                <c:pt idx="1428">
                  <c:v>40940</c:v>
                </c:pt>
                <c:pt idx="1429">
                  <c:v>40941</c:v>
                </c:pt>
                <c:pt idx="1430">
                  <c:v>40942</c:v>
                </c:pt>
                <c:pt idx="1431">
                  <c:v>40945</c:v>
                </c:pt>
                <c:pt idx="1432">
                  <c:v>40946</c:v>
                </c:pt>
                <c:pt idx="1433">
                  <c:v>40947</c:v>
                </c:pt>
                <c:pt idx="1434">
                  <c:v>40948</c:v>
                </c:pt>
                <c:pt idx="1435">
                  <c:v>40949</c:v>
                </c:pt>
                <c:pt idx="1436">
                  <c:v>40952</c:v>
                </c:pt>
                <c:pt idx="1437">
                  <c:v>40953</c:v>
                </c:pt>
                <c:pt idx="1438">
                  <c:v>40954</c:v>
                </c:pt>
                <c:pt idx="1439">
                  <c:v>40955</c:v>
                </c:pt>
                <c:pt idx="1440">
                  <c:v>40956</c:v>
                </c:pt>
                <c:pt idx="1441">
                  <c:v>40960</c:v>
                </c:pt>
                <c:pt idx="1442">
                  <c:v>40961</c:v>
                </c:pt>
                <c:pt idx="1443">
                  <c:v>40962</c:v>
                </c:pt>
                <c:pt idx="1444">
                  <c:v>40963</c:v>
                </c:pt>
                <c:pt idx="1445">
                  <c:v>40966</c:v>
                </c:pt>
                <c:pt idx="1446">
                  <c:v>40967</c:v>
                </c:pt>
                <c:pt idx="1447">
                  <c:v>40968</c:v>
                </c:pt>
                <c:pt idx="1448">
                  <c:v>40969</c:v>
                </c:pt>
                <c:pt idx="1449">
                  <c:v>40970</c:v>
                </c:pt>
                <c:pt idx="1450">
                  <c:v>40973</c:v>
                </c:pt>
                <c:pt idx="1451">
                  <c:v>40974</c:v>
                </c:pt>
                <c:pt idx="1452">
                  <c:v>40975</c:v>
                </c:pt>
                <c:pt idx="1453">
                  <c:v>40976</c:v>
                </c:pt>
                <c:pt idx="1454">
                  <c:v>40977</c:v>
                </c:pt>
                <c:pt idx="1455">
                  <c:v>40980</c:v>
                </c:pt>
                <c:pt idx="1456">
                  <c:v>40981</c:v>
                </c:pt>
                <c:pt idx="1457">
                  <c:v>40982</c:v>
                </c:pt>
                <c:pt idx="1458">
                  <c:v>40983</c:v>
                </c:pt>
                <c:pt idx="1459">
                  <c:v>40984</c:v>
                </c:pt>
                <c:pt idx="1460">
                  <c:v>40987</c:v>
                </c:pt>
                <c:pt idx="1461">
                  <c:v>40988</c:v>
                </c:pt>
                <c:pt idx="1462">
                  <c:v>40989</c:v>
                </c:pt>
                <c:pt idx="1463">
                  <c:v>40990</c:v>
                </c:pt>
                <c:pt idx="1464">
                  <c:v>40991</c:v>
                </c:pt>
                <c:pt idx="1465">
                  <c:v>40994</c:v>
                </c:pt>
                <c:pt idx="1466">
                  <c:v>40995</c:v>
                </c:pt>
                <c:pt idx="1467">
                  <c:v>40996</c:v>
                </c:pt>
                <c:pt idx="1468">
                  <c:v>40997</c:v>
                </c:pt>
                <c:pt idx="1469">
                  <c:v>40998</c:v>
                </c:pt>
                <c:pt idx="1470">
                  <c:v>41001</c:v>
                </c:pt>
                <c:pt idx="1471">
                  <c:v>41002</c:v>
                </c:pt>
                <c:pt idx="1472">
                  <c:v>41003</c:v>
                </c:pt>
                <c:pt idx="1473">
                  <c:v>41004</c:v>
                </c:pt>
                <c:pt idx="1474">
                  <c:v>41008</c:v>
                </c:pt>
                <c:pt idx="1475">
                  <c:v>41009</c:v>
                </c:pt>
                <c:pt idx="1476">
                  <c:v>41010</c:v>
                </c:pt>
                <c:pt idx="1477">
                  <c:v>41011</c:v>
                </c:pt>
                <c:pt idx="1478">
                  <c:v>41012</c:v>
                </c:pt>
                <c:pt idx="1479">
                  <c:v>41015</c:v>
                </c:pt>
                <c:pt idx="1480">
                  <c:v>41016</c:v>
                </c:pt>
                <c:pt idx="1481">
                  <c:v>41017</c:v>
                </c:pt>
                <c:pt idx="1482">
                  <c:v>41018</c:v>
                </c:pt>
                <c:pt idx="1483">
                  <c:v>41019</c:v>
                </c:pt>
                <c:pt idx="1484">
                  <c:v>41022</c:v>
                </c:pt>
                <c:pt idx="1485">
                  <c:v>41023</c:v>
                </c:pt>
                <c:pt idx="1486">
                  <c:v>41024</c:v>
                </c:pt>
                <c:pt idx="1487">
                  <c:v>41025</c:v>
                </c:pt>
                <c:pt idx="1488">
                  <c:v>41026</c:v>
                </c:pt>
                <c:pt idx="1489">
                  <c:v>41029</c:v>
                </c:pt>
                <c:pt idx="1490">
                  <c:v>41030</c:v>
                </c:pt>
                <c:pt idx="1491">
                  <c:v>41031</c:v>
                </c:pt>
                <c:pt idx="1492">
                  <c:v>41032</c:v>
                </c:pt>
                <c:pt idx="1493">
                  <c:v>41033</c:v>
                </c:pt>
                <c:pt idx="1494">
                  <c:v>41036</c:v>
                </c:pt>
                <c:pt idx="1495">
                  <c:v>41037</c:v>
                </c:pt>
                <c:pt idx="1496">
                  <c:v>41038</c:v>
                </c:pt>
                <c:pt idx="1497">
                  <c:v>41039</c:v>
                </c:pt>
                <c:pt idx="1498">
                  <c:v>41040</c:v>
                </c:pt>
                <c:pt idx="1499">
                  <c:v>41043</c:v>
                </c:pt>
                <c:pt idx="1500">
                  <c:v>41044</c:v>
                </c:pt>
                <c:pt idx="1501">
                  <c:v>41045</c:v>
                </c:pt>
                <c:pt idx="1502">
                  <c:v>41046</c:v>
                </c:pt>
                <c:pt idx="1503">
                  <c:v>41047</c:v>
                </c:pt>
                <c:pt idx="1504">
                  <c:v>41050</c:v>
                </c:pt>
                <c:pt idx="1505">
                  <c:v>41051</c:v>
                </c:pt>
                <c:pt idx="1506">
                  <c:v>41052</c:v>
                </c:pt>
                <c:pt idx="1507">
                  <c:v>41053</c:v>
                </c:pt>
                <c:pt idx="1508">
                  <c:v>41054</c:v>
                </c:pt>
                <c:pt idx="1509">
                  <c:v>41058</c:v>
                </c:pt>
                <c:pt idx="1510">
                  <c:v>41059</c:v>
                </c:pt>
                <c:pt idx="1511">
                  <c:v>41060</c:v>
                </c:pt>
                <c:pt idx="1512">
                  <c:v>41061</c:v>
                </c:pt>
                <c:pt idx="1513">
                  <c:v>41064</c:v>
                </c:pt>
                <c:pt idx="1514">
                  <c:v>41065</c:v>
                </c:pt>
                <c:pt idx="1515">
                  <c:v>41066</c:v>
                </c:pt>
                <c:pt idx="1516">
                  <c:v>41067</c:v>
                </c:pt>
                <c:pt idx="1517">
                  <c:v>41068</c:v>
                </c:pt>
                <c:pt idx="1518">
                  <c:v>41071</c:v>
                </c:pt>
                <c:pt idx="1519">
                  <c:v>41072</c:v>
                </c:pt>
                <c:pt idx="1520">
                  <c:v>41073</c:v>
                </c:pt>
                <c:pt idx="1521">
                  <c:v>41074</c:v>
                </c:pt>
                <c:pt idx="1522">
                  <c:v>41075</c:v>
                </c:pt>
                <c:pt idx="1523">
                  <c:v>41078</c:v>
                </c:pt>
                <c:pt idx="1524">
                  <c:v>41079</c:v>
                </c:pt>
                <c:pt idx="1525">
                  <c:v>41080</c:v>
                </c:pt>
                <c:pt idx="1526">
                  <c:v>41081</c:v>
                </c:pt>
                <c:pt idx="1527">
                  <c:v>41082</c:v>
                </c:pt>
                <c:pt idx="1528">
                  <c:v>41085</c:v>
                </c:pt>
                <c:pt idx="1529">
                  <c:v>41086</c:v>
                </c:pt>
                <c:pt idx="1530">
                  <c:v>41087</c:v>
                </c:pt>
                <c:pt idx="1531">
                  <c:v>41088</c:v>
                </c:pt>
                <c:pt idx="1532">
                  <c:v>41089</c:v>
                </c:pt>
                <c:pt idx="1533">
                  <c:v>41092</c:v>
                </c:pt>
                <c:pt idx="1534">
                  <c:v>41093</c:v>
                </c:pt>
                <c:pt idx="1535">
                  <c:v>41095</c:v>
                </c:pt>
                <c:pt idx="1536">
                  <c:v>41096</c:v>
                </c:pt>
                <c:pt idx="1537">
                  <c:v>41099</c:v>
                </c:pt>
                <c:pt idx="1538">
                  <c:v>41100</c:v>
                </c:pt>
                <c:pt idx="1539">
                  <c:v>41101</c:v>
                </c:pt>
                <c:pt idx="1540">
                  <c:v>41102</c:v>
                </c:pt>
                <c:pt idx="1541">
                  <c:v>41103</c:v>
                </c:pt>
                <c:pt idx="1542">
                  <c:v>41106</c:v>
                </c:pt>
                <c:pt idx="1543">
                  <c:v>41107</c:v>
                </c:pt>
                <c:pt idx="1544">
                  <c:v>41108</c:v>
                </c:pt>
                <c:pt idx="1545">
                  <c:v>41109</c:v>
                </c:pt>
                <c:pt idx="1546">
                  <c:v>41110</c:v>
                </c:pt>
                <c:pt idx="1547">
                  <c:v>41113</c:v>
                </c:pt>
                <c:pt idx="1548">
                  <c:v>41114</c:v>
                </c:pt>
                <c:pt idx="1549">
                  <c:v>41115</c:v>
                </c:pt>
                <c:pt idx="1550">
                  <c:v>41116</c:v>
                </c:pt>
                <c:pt idx="1551">
                  <c:v>41117</c:v>
                </c:pt>
                <c:pt idx="1552">
                  <c:v>41120</c:v>
                </c:pt>
                <c:pt idx="1553">
                  <c:v>41121</c:v>
                </c:pt>
                <c:pt idx="1554">
                  <c:v>41122</c:v>
                </c:pt>
                <c:pt idx="1555">
                  <c:v>41123</c:v>
                </c:pt>
                <c:pt idx="1556">
                  <c:v>41124</c:v>
                </c:pt>
                <c:pt idx="1557">
                  <c:v>41127</c:v>
                </c:pt>
                <c:pt idx="1558">
                  <c:v>41128</c:v>
                </c:pt>
                <c:pt idx="1559">
                  <c:v>41129</c:v>
                </c:pt>
                <c:pt idx="1560">
                  <c:v>41130</c:v>
                </c:pt>
                <c:pt idx="1561">
                  <c:v>41131</c:v>
                </c:pt>
                <c:pt idx="1562">
                  <c:v>41134</c:v>
                </c:pt>
                <c:pt idx="1563">
                  <c:v>41135</c:v>
                </c:pt>
                <c:pt idx="1564">
                  <c:v>41136</c:v>
                </c:pt>
                <c:pt idx="1565">
                  <c:v>41137</c:v>
                </c:pt>
                <c:pt idx="1566">
                  <c:v>41138</c:v>
                </c:pt>
                <c:pt idx="1567">
                  <c:v>41141</c:v>
                </c:pt>
                <c:pt idx="1568">
                  <c:v>41142</c:v>
                </c:pt>
                <c:pt idx="1569">
                  <c:v>41143</c:v>
                </c:pt>
                <c:pt idx="1570">
                  <c:v>41144</c:v>
                </c:pt>
                <c:pt idx="1571">
                  <c:v>41145</c:v>
                </c:pt>
                <c:pt idx="1572">
                  <c:v>41148</c:v>
                </c:pt>
                <c:pt idx="1573">
                  <c:v>41149</c:v>
                </c:pt>
                <c:pt idx="1574">
                  <c:v>41150</c:v>
                </c:pt>
                <c:pt idx="1575">
                  <c:v>41151</c:v>
                </c:pt>
                <c:pt idx="1576">
                  <c:v>41152</c:v>
                </c:pt>
                <c:pt idx="1577">
                  <c:v>41156</c:v>
                </c:pt>
                <c:pt idx="1578">
                  <c:v>41157</c:v>
                </c:pt>
                <c:pt idx="1579">
                  <c:v>41158</c:v>
                </c:pt>
                <c:pt idx="1580">
                  <c:v>41159</c:v>
                </c:pt>
                <c:pt idx="1581">
                  <c:v>41162</c:v>
                </c:pt>
                <c:pt idx="1582">
                  <c:v>41163</c:v>
                </c:pt>
                <c:pt idx="1583">
                  <c:v>41164</c:v>
                </c:pt>
                <c:pt idx="1584">
                  <c:v>41165</c:v>
                </c:pt>
                <c:pt idx="1585">
                  <c:v>41166</c:v>
                </c:pt>
                <c:pt idx="1586">
                  <c:v>41169</c:v>
                </c:pt>
                <c:pt idx="1587">
                  <c:v>41170</c:v>
                </c:pt>
                <c:pt idx="1588">
                  <c:v>41171</c:v>
                </c:pt>
                <c:pt idx="1589">
                  <c:v>41172</c:v>
                </c:pt>
                <c:pt idx="1590">
                  <c:v>41173</c:v>
                </c:pt>
                <c:pt idx="1591">
                  <c:v>41176</c:v>
                </c:pt>
                <c:pt idx="1592">
                  <c:v>41177</c:v>
                </c:pt>
                <c:pt idx="1593">
                  <c:v>41178</c:v>
                </c:pt>
                <c:pt idx="1594">
                  <c:v>41179</c:v>
                </c:pt>
                <c:pt idx="1595">
                  <c:v>41180</c:v>
                </c:pt>
                <c:pt idx="1596">
                  <c:v>41183</c:v>
                </c:pt>
                <c:pt idx="1597">
                  <c:v>41184</c:v>
                </c:pt>
                <c:pt idx="1598">
                  <c:v>41185</c:v>
                </c:pt>
                <c:pt idx="1599">
                  <c:v>41186</c:v>
                </c:pt>
                <c:pt idx="1600">
                  <c:v>41187</c:v>
                </c:pt>
                <c:pt idx="1601">
                  <c:v>41190</c:v>
                </c:pt>
                <c:pt idx="1602">
                  <c:v>41191</c:v>
                </c:pt>
                <c:pt idx="1603">
                  <c:v>41192</c:v>
                </c:pt>
                <c:pt idx="1604">
                  <c:v>41193</c:v>
                </c:pt>
                <c:pt idx="1605">
                  <c:v>41194</c:v>
                </c:pt>
                <c:pt idx="1606">
                  <c:v>41197</c:v>
                </c:pt>
                <c:pt idx="1607">
                  <c:v>41198</c:v>
                </c:pt>
                <c:pt idx="1608">
                  <c:v>41199</c:v>
                </c:pt>
                <c:pt idx="1609">
                  <c:v>41200</c:v>
                </c:pt>
                <c:pt idx="1610">
                  <c:v>41201</c:v>
                </c:pt>
                <c:pt idx="1611">
                  <c:v>41204</c:v>
                </c:pt>
                <c:pt idx="1612">
                  <c:v>41205</c:v>
                </c:pt>
                <c:pt idx="1613">
                  <c:v>41206</c:v>
                </c:pt>
                <c:pt idx="1614">
                  <c:v>41207</c:v>
                </c:pt>
                <c:pt idx="1615">
                  <c:v>41208</c:v>
                </c:pt>
                <c:pt idx="1616">
                  <c:v>41213</c:v>
                </c:pt>
                <c:pt idx="1617">
                  <c:v>41214</c:v>
                </c:pt>
                <c:pt idx="1618">
                  <c:v>41215</c:v>
                </c:pt>
                <c:pt idx="1619">
                  <c:v>41218</c:v>
                </c:pt>
                <c:pt idx="1620">
                  <c:v>41219</c:v>
                </c:pt>
                <c:pt idx="1621">
                  <c:v>41220</c:v>
                </c:pt>
                <c:pt idx="1622">
                  <c:v>41221</c:v>
                </c:pt>
                <c:pt idx="1623">
                  <c:v>41222</c:v>
                </c:pt>
                <c:pt idx="1624">
                  <c:v>41225</c:v>
                </c:pt>
                <c:pt idx="1625">
                  <c:v>41226</c:v>
                </c:pt>
                <c:pt idx="1626">
                  <c:v>41227</c:v>
                </c:pt>
                <c:pt idx="1627">
                  <c:v>41228</c:v>
                </c:pt>
                <c:pt idx="1628">
                  <c:v>41229</c:v>
                </c:pt>
                <c:pt idx="1629">
                  <c:v>41232</c:v>
                </c:pt>
                <c:pt idx="1630">
                  <c:v>41233</c:v>
                </c:pt>
                <c:pt idx="1631">
                  <c:v>41234</c:v>
                </c:pt>
                <c:pt idx="1632">
                  <c:v>41236</c:v>
                </c:pt>
                <c:pt idx="1633">
                  <c:v>41239</c:v>
                </c:pt>
                <c:pt idx="1634">
                  <c:v>41240</c:v>
                </c:pt>
                <c:pt idx="1635">
                  <c:v>41241</c:v>
                </c:pt>
                <c:pt idx="1636">
                  <c:v>41242</c:v>
                </c:pt>
                <c:pt idx="1637">
                  <c:v>41243</c:v>
                </c:pt>
                <c:pt idx="1638">
                  <c:v>41246</c:v>
                </c:pt>
                <c:pt idx="1639">
                  <c:v>41247</c:v>
                </c:pt>
                <c:pt idx="1640">
                  <c:v>41248</c:v>
                </c:pt>
                <c:pt idx="1641">
                  <c:v>41249</c:v>
                </c:pt>
                <c:pt idx="1642">
                  <c:v>41250</c:v>
                </c:pt>
                <c:pt idx="1643">
                  <c:v>41253</c:v>
                </c:pt>
                <c:pt idx="1644">
                  <c:v>41254</c:v>
                </c:pt>
                <c:pt idx="1645">
                  <c:v>41255</c:v>
                </c:pt>
                <c:pt idx="1646">
                  <c:v>41256</c:v>
                </c:pt>
                <c:pt idx="1647">
                  <c:v>41257</c:v>
                </c:pt>
                <c:pt idx="1648">
                  <c:v>41260</c:v>
                </c:pt>
                <c:pt idx="1649">
                  <c:v>41261</c:v>
                </c:pt>
                <c:pt idx="1650">
                  <c:v>41262</c:v>
                </c:pt>
                <c:pt idx="1651">
                  <c:v>41263</c:v>
                </c:pt>
                <c:pt idx="1652">
                  <c:v>41264</c:v>
                </c:pt>
                <c:pt idx="1653">
                  <c:v>41267</c:v>
                </c:pt>
                <c:pt idx="1654">
                  <c:v>41269</c:v>
                </c:pt>
                <c:pt idx="1655">
                  <c:v>41270</c:v>
                </c:pt>
                <c:pt idx="1656">
                  <c:v>41271</c:v>
                </c:pt>
                <c:pt idx="1657">
                  <c:v>41274</c:v>
                </c:pt>
                <c:pt idx="1658">
                  <c:v>41276</c:v>
                </c:pt>
                <c:pt idx="1659">
                  <c:v>41277</c:v>
                </c:pt>
                <c:pt idx="1660">
                  <c:v>41278</c:v>
                </c:pt>
                <c:pt idx="1661">
                  <c:v>41281</c:v>
                </c:pt>
                <c:pt idx="1662">
                  <c:v>41282</c:v>
                </c:pt>
                <c:pt idx="1663">
                  <c:v>41283</c:v>
                </c:pt>
                <c:pt idx="1664">
                  <c:v>41284</c:v>
                </c:pt>
                <c:pt idx="1665">
                  <c:v>41285</c:v>
                </c:pt>
                <c:pt idx="1666">
                  <c:v>41288</c:v>
                </c:pt>
                <c:pt idx="1667">
                  <c:v>41289</c:v>
                </c:pt>
                <c:pt idx="1668">
                  <c:v>41290</c:v>
                </c:pt>
                <c:pt idx="1669">
                  <c:v>41291</c:v>
                </c:pt>
                <c:pt idx="1670">
                  <c:v>41292</c:v>
                </c:pt>
                <c:pt idx="1671">
                  <c:v>41296</c:v>
                </c:pt>
                <c:pt idx="1672">
                  <c:v>41297</c:v>
                </c:pt>
                <c:pt idx="1673">
                  <c:v>41298</c:v>
                </c:pt>
                <c:pt idx="1674">
                  <c:v>41299</c:v>
                </c:pt>
                <c:pt idx="1675">
                  <c:v>41302</c:v>
                </c:pt>
                <c:pt idx="1676">
                  <c:v>41303</c:v>
                </c:pt>
                <c:pt idx="1677">
                  <c:v>41304</c:v>
                </c:pt>
                <c:pt idx="1678">
                  <c:v>41305</c:v>
                </c:pt>
                <c:pt idx="1679">
                  <c:v>41306</c:v>
                </c:pt>
                <c:pt idx="1680">
                  <c:v>41309</c:v>
                </c:pt>
                <c:pt idx="1681">
                  <c:v>41310</c:v>
                </c:pt>
                <c:pt idx="1682">
                  <c:v>41311</c:v>
                </c:pt>
                <c:pt idx="1683">
                  <c:v>41312</c:v>
                </c:pt>
                <c:pt idx="1684">
                  <c:v>41313</c:v>
                </c:pt>
                <c:pt idx="1685">
                  <c:v>41316</c:v>
                </c:pt>
                <c:pt idx="1686">
                  <c:v>41317</c:v>
                </c:pt>
                <c:pt idx="1687">
                  <c:v>41318</c:v>
                </c:pt>
                <c:pt idx="1688">
                  <c:v>41319</c:v>
                </c:pt>
                <c:pt idx="1689">
                  <c:v>41320</c:v>
                </c:pt>
                <c:pt idx="1690">
                  <c:v>41324</c:v>
                </c:pt>
                <c:pt idx="1691">
                  <c:v>41325</c:v>
                </c:pt>
                <c:pt idx="1692">
                  <c:v>41326</c:v>
                </c:pt>
                <c:pt idx="1693">
                  <c:v>41327</c:v>
                </c:pt>
                <c:pt idx="1694">
                  <c:v>41330</c:v>
                </c:pt>
                <c:pt idx="1695">
                  <c:v>41331</c:v>
                </c:pt>
                <c:pt idx="1696">
                  <c:v>41332</c:v>
                </c:pt>
                <c:pt idx="1697">
                  <c:v>41333</c:v>
                </c:pt>
                <c:pt idx="1698">
                  <c:v>41334</c:v>
                </c:pt>
                <c:pt idx="1699">
                  <c:v>41337</c:v>
                </c:pt>
                <c:pt idx="1700">
                  <c:v>41338</c:v>
                </c:pt>
                <c:pt idx="1701">
                  <c:v>41339</c:v>
                </c:pt>
                <c:pt idx="1702">
                  <c:v>41340</c:v>
                </c:pt>
                <c:pt idx="1703">
                  <c:v>41341</c:v>
                </c:pt>
                <c:pt idx="1704">
                  <c:v>41344</c:v>
                </c:pt>
                <c:pt idx="1705">
                  <c:v>41345</c:v>
                </c:pt>
                <c:pt idx="1706">
                  <c:v>41346</c:v>
                </c:pt>
                <c:pt idx="1707">
                  <c:v>41347</c:v>
                </c:pt>
                <c:pt idx="1708">
                  <c:v>41348</c:v>
                </c:pt>
                <c:pt idx="1709">
                  <c:v>41351</c:v>
                </c:pt>
                <c:pt idx="1710">
                  <c:v>41352</c:v>
                </c:pt>
                <c:pt idx="1711">
                  <c:v>41353</c:v>
                </c:pt>
                <c:pt idx="1712">
                  <c:v>41354</c:v>
                </c:pt>
                <c:pt idx="1713">
                  <c:v>41355</c:v>
                </c:pt>
                <c:pt idx="1714">
                  <c:v>41358</c:v>
                </c:pt>
                <c:pt idx="1715">
                  <c:v>41359</c:v>
                </c:pt>
                <c:pt idx="1716">
                  <c:v>41360</c:v>
                </c:pt>
                <c:pt idx="1717">
                  <c:v>41361</c:v>
                </c:pt>
                <c:pt idx="1718">
                  <c:v>41365</c:v>
                </c:pt>
                <c:pt idx="1719">
                  <c:v>41366</c:v>
                </c:pt>
                <c:pt idx="1720">
                  <c:v>41367</c:v>
                </c:pt>
                <c:pt idx="1721">
                  <c:v>41368</c:v>
                </c:pt>
                <c:pt idx="1722">
                  <c:v>41369</c:v>
                </c:pt>
                <c:pt idx="1723">
                  <c:v>41372</c:v>
                </c:pt>
                <c:pt idx="1724">
                  <c:v>41373</c:v>
                </c:pt>
                <c:pt idx="1725">
                  <c:v>41374</c:v>
                </c:pt>
                <c:pt idx="1726">
                  <c:v>41375</c:v>
                </c:pt>
                <c:pt idx="1727">
                  <c:v>41376</c:v>
                </c:pt>
                <c:pt idx="1728">
                  <c:v>41379</c:v>
                </c:pt>
                <c:pt idx="1729">
                  <c:v>41380</c:v>
                </c:pt>
                <c:pt idx="1730">
                  <c:v>41381</c:v>
                </c:pt>
                <c:pt idx="1731">
                  <c:v>41382</c:v>
                </c:pt>
                <c:pt idx="1732">
                  <c:v>41383</c:v>
                </c:pt>
                <c:pt idx="1733">
                  <c:v>41386</c:v>
                </c:pt>
                <c:pt idx="1734">
                  <c:v>41387</c:v>
                </c:pt>
                <c:pt idx="1735">
                  <c:v>41388</c:v>
                </c:pt>
                <c:pt idx="1736">
                  <c:v>41389</c:v>
                </c:pt>
                <c:pt idx="1737">
                  <c:v>41390</c:v>
                </c:pt>
                <c:pt idx="1738">
                  <c:v>41393</c:v>
                </c:pt>
                <c:pt idx="1739">
                  <c:v>41394</c:v>
                </c:pt>
                <c:pt idx="1740">
                  <c:v>41395</c:v>
                </c:pt>
                <c:pt idx="1741">
                  <c:v>41396</c:v>
                </c:pt>
                <c:pt idx="1742">
                  <c:v>41397</c:v>
                </c:pt>
                <c:pt idx="1743">
                  <c:v>41400</c:v>
                </c:pt>
                <c:pt idx="1744">
                  <c:v>41401</c:v>
                </c:pt>
                <c:pt idx="1745">
                  <c:v>41402</c:v>
                </c:pt>
                <c:pt idx="1746">
                  <c:v>41403</c:v>
                </c:pt>
                <c:pt idx="1747">
                  <c:v>41404</c:v>
                </c:pt>
                <c:pt idx="1748">
                  <c:v>41407</c:v>
                </c:pt>
                <c:pt idx="1749">
                  <c:v>41408</c:v>
                </c:pt>
                <c:pt idx="1750">
                  <c:v>41409</c:v>
                </c:pt>
                <c:pt idx="1751">
                  <c:v>41410</c:v>
                </c:pt>
                <c:pt idx="1752">
                  <c:v>41411</c:v>
                </c:pt>
                <c:pt idx="1753">
                  <c:v>41414</c:v>
                </c:pt>
                <c:pt idx="1754">
                  <c:v>41415</c:v>
                </c:pt>
                <c:pt idx="1755">
                  <c:v>41416</c:v>
                </c:pt>
                <c:pt idx="1756">
                  <c:v>41417</c:v>
                </c:pt>
                <c:pt idx="1757">
                  <c:v>41418</c:v>
                </c:pt>
                <c:pt idx="1758">
                  <c:v>41422</c:v>
                </c:pt>
                <c:pt idx="1759">
                  <c:v>41423</c:v>
                </c:pt>
                <c:pt idx="1760">
                  <c:v>41424</c:v>
                </c:pt>
                <c:pt idx="1761">
                  <c:v>41425</c:v>
                </c:pt>
                <c:pt idx="1762">
                  <c:v>41428</c:v>
                </c:pt>
                <c:pt idx="1763">
                  <c:v>41429</c:v>
                </c:pt>
                <c:pt idx="1764">
                  <c:v>41430</c:v>
                </c:pt>
                <c:pt idx="1765">
                  <c:v>41431</c:v>
                </c:pt>
                <c:pt idx="1766">
                  <c:v>41432</c:v>
                </c:pt>
                <c:pt idx="1767">
                  <c:v>41435</c:v>
                </c:pt>
                <c:pt idx="1768">
                  <c:v>41436</c:v>
                </c:pt>
                <c:pt idx="1769">
                  <c:v>41437</c:v>
                </c:pt>
                <c:pt idx="1770">
                  <c:v>41438</c:v>
                </c:pt>
                <c:pt idx="1771">
                  <c:v>41439</c:v>
                </c:pt>
                <c:pt idx="1772">
                  <c:v>41442</c:v>
                </c:pt>
                <c:pt idx="1773">
                  <c:v>41443</c:v>
                </c:pt>
                <c:pt idx="1774">
                  <c:v>41444</c:v>
                </c:pt>
                <c:pt idx="1775">
                  <c:v>41445</c:v>
                </c:pt>
                <c:pt idx="1776">
                  <c:v>41446</c:v>
                </c:pt>
                <c:pt idx="1777">
                  <c:v>41449</c:v>
                </c:pt>
                <c:pt idx="1778">
                  <c:v>41450</c:v>
                </c:pt>
                <c:pt idx="1779">
                  <c:v>41451</c:v>
                </c:pt>
                <c:pt idx="1780">
                  <c:v>41452</c:v>
                </c:pt>
                <c:pt idx="1781">
                  <c:v>41453</c:v>
                </c:pt>
                <c:pt idx="1782">
                  <c:v>41456</c:v>
                </c:pt>
                <c:pt idx="1783">
                  <c:v>41457</c:v>
                </c:pt>
                <c:pt idx="1784">
                  <c:v>41458</c:v>
                </c:pt>
                <c:pt idx="1785">
                  <c:v>41460</c:v>
                </c:pt>
                <c:pt idx="1786">
                  <c:v>41463</c:v>
                </c:pt>
                <c:pt idx="1787">
                  <c:v>41464</c:v>
                </c:pt>
                <c:pt idx="1788">
                  <c:v>41465</c:v>
                </c:pt>
                <c:pt idx="1789">
                  <c:v>41466</c:v>
                </c:pt>
                <c:pt idx="1790">
                  <c:v>41467</c:v>
                </c:pt>
                <c:pt idx="1791">
                  <c:v>41470</c:v>
                </c:pt>
                <c:pt idx="1792">
                  <c:v>41471</c:v>
                </c:pt>
                <c:pt idx="1793">
                  <c:v>41472</c:v>
                </c:pt>
                <c:pt idx="1794">
                  <c:v>41473</c:v>
                </c:pt>
                <c:pt idx="1795">
                  <c:v>41474</c:v>
                </c:pt>
                <c:pt idx="1796">
                  <c:v>41477</c:v>
                </c:pt>
                <c:pt idx="1797">
                  <c:v>41478</c:v>
                </c:pt>
                <c:pt idx="1798">
                  <c:v>41479</c:v>
                </c:pt>
                <c:pt idx="1799">
                  <c:v>41480</c:v>
                </c:pt>
                <c:pt idx="1800">
                  <c:v>41481</c:v>
                </c:pt>
                <c:pt idx="1801">
                  <c:v>41484</c:v>
                </c:pt>
                <c:pt idx="1802">
                  <c:v>41485</c:v>
                </c:pt>
                <c:pt idx="1803">
                  <c:v>41486</c:v>
                </c:pt>
                <c:pt idx="1804">
                  <c:v>41487</c:v>
                </c:pt>
                <c:pt idx="1805">
                  <c:v>41488</c:v>
                </c:pt>
                <c:pt idx="1806">
                  <c:v>41491</c:v>
                </c:pt>
                <c:pt idx="1807">
                  <c:v>41492</c:v>
                </c:pt>
                <c:pt idx="1808">
                  <c:v>41493</c:v>
                </c:pt>
                <c:pt idx="1809">
                  <c:v>41494</c:v>
                </c:pt>
                <c:pt idx="1810">
                  <c:v>41495</c:v>
                </c:pt>
                <c:pt idx="1811">
                  <c:v>41498</c:v>
                </c:pt>
                <c:pt idx="1812">
                  <c:v>41499</c:v>
                </c:pt>
                <c:pt idx="1813">
                  <c:v>41500</c:v>
                </c:pt>
                <c:pt idx="1814">
                  <c:v>41501</c:v>
                </c:pt>
                <c:pt idx="1815">
                  <c:v>41502</c:v>
                </c:pt>
                <c:pt idx="1816">
                  <c:v>41505</c:v>
                </c:pt>
                <c:pt idx="1817">
                  <c:v>41506</c:v>
                </c:pt>
                <c:pt idx="1818">
                  <c:v>41507</c:v>
                </c:pt>
                <c:pt idx="1819">
                  <c:v>41508</c:v>
                </c:pt>
                <c:pt idx="1820">
                  <c:v>41509</c:v>
                </c:pt>
                <c:pt idx="1821">
                  <c:v>41512</c:v>
                </c:pt>
                <c:pt idx="1822">
                  <c:v>41513</c:v>
                </c:pt>
                <c:pt idx="1823">
                  <c:v>41514</c:v>
                </c:pt>
                <c:pt idx="1824">
                  <c:v>41515</c:v>
                </c:pt>
                <c:pt idx="1825">
                  <c:v>41516</c:v>
                </c:pt>
                <c:pt idx="1826">
                  <c:v>41520</c:v>
                </c:pt>
                <c:pt idx="1827">
                  <c:v>41521</c:v>
                </c:pt>
                <c:pt idx="1828">
                  <c:v>41522</c:v>
                </c:pt>
                <c:pt idx="1829">
                  <c:v>41523</c:v>
                </c:pt>
                <c:pt idx="1830">
                  <c:v>41526</c:v>
                </c:pt>
                <c:pt idx="1831">
                  <c:v>41527</c:v>
                </c:pt>
                <c:pt idx="1832">
                  <c:v>41528</c:v>
                </c:pt>
                <c:pt idx="1833">
                  <c:v>41529</c:v>
                </c:pt>
                <c:pt idx="1834">
                  <c:v>41530</c:v>
                </c:pt>
                <c:pt idx="1835">
                  <c:v>41533</c:v>
                </c:pt>
                <c:pt idx="1836">
                  <c:v>41534</c:v>
                </c:pt>
                <c:pt idx="1837">
                  <c:v>41535</c:v>
                </c:pt>
                <c:pt idx="1838">
                  <c:v>41536</c:v>
                </c:pt>
                <c:pt idx="1839">
                  <c:v>41537</c:v>
                </c:pt>
                <c:pt idx="1840">
                  <c:v>41540</c:v>
                </c:pt>
                <c:pt idx="1841">
                  <c:v>41541</c:v>
                </c:pt>
                <c:pt idx="1842">
                  <c:v>41542</c:v>
                </c:pt>
                <c:pt idx="1843">
                  <c:v>41543</c:v>
                </c:pt>
                <c:pt idx="1844">
                  <c:v>41544</c:v>
                </c:pt>
                <c:pt idx="1845">
                  <c:v>41547</c:v>
                </c:pt>
                <c:pt idx="1846">
                  <c:v>41548</c:v>
                </c:pt>
                <c:pt idx="1847">
                  <c:v>41549</c:v>
                </c:pt>
                <c:pt idx="1848">
                  <c:v>41550</c:v>
                </c:pt>
                <c:pt idx="1849">
                  <c:v>41551</c:v>
                </c:pt>
                <c:pt idx="1850">
                  <c:v>41554</c:v>
                </c:pt>
                <c:pt idx="1851">
                  <c:v>41555</c:v>
                </c:pt>
                <c:pt idx="1852">
                  <c:v>41556</c:v>
                </c:pt>
                <c:pt idx="1853">
                  <c:v>41557</c:v>
                </c:pt>
                <c:pt idx="1854">
                  <c:v>41558</c:v>
                </c:pt>
                <c:pt idx="1855">
                  <c:v>41561</c:v>
                </c:pt>
                <c:pt idx="1856">
                  <c:v>41562</c:v>
                </c:pt>
                <c:pt idx="1857">
                  <c:v>41563</c:v>
                </c:pt>
                <c:pt idx="1858">
                  <c:v>41564</c:v>
                </c:pt>
                <c:pt idx="1859">
                  <c:v>41565</c:v>
                </c:pt>
                <c:pt idx="1860">
                  <c:v>41568</c:v>
                </c:pt>
                <c:pt idx="1861">
                  <c:v>41569</c:v>
                </c:pt>
                <c:pt idx="1862">
                  <c:v>41570</c:v>
                </c:pt>
                <c:pt idx="1863">
                  <c:v>41571</c:v>
                </c:pt>
                <c:pt idx="1864">
                  <c:v>41572</c:v>
                </c:pt>
                <c:pt idx="1865">
                  <c:v>41575</c:v>
                </c:pt>
                <c:pt idx="1866">
                  <c:v>41576</c:v>
                </c:pt>
                <c:pt idx="1867">
                  <c:v>41577</c:v>
                </c:pt>
                <c:pt idx="1868">
                  <c:v>41578</c:v>
                </c:pt>
                <c:pt idx="1869">
                  <c:v>41579</c:v>
                </c:pt>
                <c:pt idx="1870">
                  <c:v>41582</c:v>
                </c:pt>
                <c:pt idx="1871">
                  <c:v>41583</c:v>
                </c:pt>
                <c:pt idx="1872">
                  <c:v>41584</c:v>
                </c:pt>
                <c:pt idx="1873">
                  <c:v>41585</c:v>
                </c:pt>
                <c:pt idx="1874">
                  <c:v>41586</c:v>
                </c:pt>
                <c:pt idx="1875">
                  <c:v>41589</c:v>
                </c:pt>
                <c:pt idx="1876">
                  <c:v>41590</c:v>
                </c:pt>
                <c:pt idx="1877">
                  <c:v>41591</c:v>
                </c:pt>
                <c:pt idx="1878">
                  <c:v>41592</c:v>
                </c:pt>
                <c:pt idx="1879">
                  <c:v>41593</c:v>
                </c:pt>
                <c:pt idx="1880">
                  <c:v>41596</c:v>
                </c:pt>
                <c:pt idx="1881">
                  <c:v>41597</c:v>
                </c:pt>
                <c:pt idx="1882">
                  <c:v>41598</c:v>
                </c:pt>
                <c:pt idx="1883">
                  <c:v>41599</c:v>
                </c:pt>
                <c:pt idx="1884">
                  <c:v>41600</c:v>
                </c:pt>
                <c:pt idx="1885">
                  <c:v>41603</c:v>
                </c:pt>
                <c:pt idx="1886">
                  <c:v>41604</c:v>
                </c:pt>
                <c:pt idx="1887">
                  <c:v>41605</c:v>
                </c:pt>
                <c:pt idx="1888">
                  <c:v>41607</c:v>
                </c:pt>
                <c:pt idx="1889">
                  <c:v>41610</c:v>
                </c:pt>
                <c:pt idx="1890">
                  <c:v>41611</c:v>
                </c:pt>
                <c:pt idx="1891">
                  <c:v>41612</c:v>
                </c:pt>
                <c:pt idx="1892">
                  <c:v>41613</c:v>
                </c:pt>
                <c:pt idx="1893">
                  <c:v>41614</c:v>
                </c:pt>
                <c:pt idx="1894">
                  <c:v>41617</c:v>
                </c:pt>
                <c:pt idx="1895">
                  <c:v>41618</c:v>
                </c:pt>
                <c:pt idx="1896">
                  <c:v>41619</c:v>
                </c:pt>
                <c:pt idx="1897">
                  <c:v>41620</c:v>
                </c:pt>
                <c:pt idx="1898">
                  <c:v>41621</c:v>
                </c:pt>
                <c:pt idx="1899">
                  <c:v>41624</c:v>
                </c:pt>
                <c:pt idx="1900">
                  <c:v>41625</c:v>
                </c:pt>
                <c:pt idx="1901">
                  <c:v>41626</c:v>
                </c:pt>
                <c:pt idx="1902">
                  <c:v>41627</c:v>
                </c:pt>
                <c:pt idx="1903">
                  <c:v>41628</c:v>
                </c:pt>
                <c:pt idx="1904">
                  <c:v>41631</c:v>
                </c:pt>
                <c:pt idx="1905">
                  <c:v>41632</c:v>
                </c:pt>
                <c:pt idx="1906">
                  <c:v>41634</c:v>
                </c:pt>
                <c:pt idx="1907">
                  <c:v>41635</c:v>
                </c:pt>
                <c:pt idx="1908">
                  <c:v>41638</c:v>
                </c:pt>
                <c:pt idx="1909">
                  <c:v>41639</c:v>
                </c:pt>
                <c:pt idx="1910">
                  <c:v>41641</c:v>
                </c:pt>
                <c:pt idx="1911">
                  <c:v>41642</c:v>
                </c:pt>
                <c:pt idx="1912">
                  <c:v>41645</c:v>
                </c:pt>
                <c:pt idx="1913">
                  <c:v>41646</c:v>
                </c:pt>
                <c:pt idx="1914">
                  <c:v>41647</c:v>
                </c:pt>
                <c:pt idx="1915">
                  <c:v>41648</c:v>
                </c:pt>
                <c:pt idx="1916">
                  <c:v>41649</c:v>
                </c:pt>
                <c:pt idx="1917">
                  <c:v>41652</c:v>
                </c:pt>
                <c:pt idx="1918">
                  <c:v>41653</c:v>
                </c:pt>
                <c:pt idx="1919">
                  <c:v>41654</c:v>
                </c:pt>
                <c:pt idx="1920">
                  <c:v>41655</c:v>
                </c:pt>
                <c:pt idx="1921">
                  <c:v>41656</c:v>
                </c:pt>
                <c:pt idx="1922">
                  <c:v>41660</c:v>
                </c:pt>
                <c:pt idx="1923">
                  <c:v>41661</c:v>
                </c:pt>
                <c:pt idx="1924">
                  <c:v>41662</c:v>
                </c:pt>
                <c:pt idx="1925">
                  <c:v>41663</c:v>
                </c:pt>
                <c:pt idx="1926">
                  <c:v>41666</c:v>
                </c:pt>
                <c:pt idx="1927">
                  <c:v>41667</c:v>
                </c:pt>
                <c:pt idx="1928">
                  <c:v>41668</c:v>
                </c:pt>
                <c:pt idx="1929">
                  <c:v>41669</c:v>
                </c:pt>
                <c:pt idx="1930">
                  <c:v>41670</c:v>
                </c:pt>
                <c:pt idx="1931">
                  <c:v>41673</c:v>
                </c:pt>
                <c:pt idx="1932">
                  <c:v>41674</c:v>
                </c:pt>
                <c:pt idx="1933">
                  <c:v>41675</c:v>
                </c:pt>
                <c:pt idx="1934">
                  <c:v>41676</c:v>
                </c:pt>
                <c:pt idx="1935">
                  <c:v>41677</c:v>
                </c:pt>
                <c:pt idx="1936">
                  <c:v>41680</c:v>
                </c:pt>
                <c:pt idx="1937">
                  <c:v>41681</c:v>
                </c:pt>
                <c:pt idx="1938">
                  <c:v>41682</c:v>
                </c:pt>
                <c:pt idx="1939">
                  <c:v>41683</c:v>
                </c:pt>
                <c:pt idx="1940">
                  <c:v>41684</c:v>
                </c:pt>
                <c:pt idx="1941">
                  <c:v>41688</c:v>
                </c:pt>
                <c:pt idx="1942">
                  <c:v>41689</c:v>
                </c:pt>
                <c:pt idx="1943">
                  <c:v>41690</c:v>
                </c:pt>
                <c:pt idx="1944">
                  <c:v>41691</c:v>
                </c:pt>
                <c:pt idx="1945">
                  <c:v>41694</c:v>
                </c:pt>
                <c:pt idx="1946">
                  <c:v>41695</c:v>
                </c:pt>
                <c:pt idx="1947">
                  <c:v>41696</c:v>
                </c:pt>
                <c:pt idx="1948">
                  <c:v>41697</c:v>
                </c:pt>
                <c:pt idx="1949">
                  <c:v>41698</c:v>
                </c:pt>
                <c:pt idx="1950">
                  <c:v>41701</c:v>
                </c:pt>
                <c:pt idx="1951">
                  <c:v>41702</c:v>
                </c:pt>
                <c:pt idx="1952">
                  <c:v>41703</c:v>
                </c:pt>
                <c:pt idx="1953">
                  <c:v>41704</c:v>
                </c:pt>
                <c:pt idx="1954">
                  <c:v>41705</c:v>
                </c:pt>
                <c:pt idx="1955">
                  <c:v>41708</c:v>
                </c:pt>
                <c:pt idx="1956">
                  <c:v>41709</c:v>
                </c:pt>
                <c:pt idx="1957">
                  <c:v>41710</c:v>
                </c:pt>
                <c:pt idx="1958">
                  <c:v>41711</c:v>
                </c:pt>
                <c:pt idx="1959">
                  <c:v>41712</c:v>
                </c:pt>
                <c:pt idx="1960">
                  <c:v>41715</c:v>
                </c:pt>
                <c:pt idx="1961">
                  <c:v>41716</c:v>
                </c:pt>
                <c:pt idx="1962">
                  <c:v>41717</c:v>
                </c:pt>
                <c:pt idx="1963">
                  <c:v>41718</c:v>
                </c:pt>
                <c:pt idx="1964">
                  <c:v>41719</c:v>
                </c:pt>
                <c:pt idx="1965">
                  <c:v>41722</c:v>
                </c:pt>
                <c:pt idx="1966">
                  <c:v>41723</c:v>
                </c:pt>
                <c:pt idx="1967">
                  <c:v>41724</c:v>
                </c:pt>
                <c:pt idx="1968">
                  <c:v>41725</c:v>
                </c:pt>
                <c:pt idx="1969">
                  <c:v>41726</c:v>
                </c:pt>
                <c:pt idx="1970">
                  <c:v>41729</c:v>
                </c:pt>
                <c:pt idx="1971">
                  <c:v>41730</c:v>
                </c:pt>
                <c:pt idx="1972">
                  <c:v>41731</c:v>
                </c:pt>
                <c:pt idx="1973">
                  <c:v>41732</c:v>
                </c:pt>
                <c:pt idx="1974">
                  <c:v>41733</c:v>
                </c:pt>
                <c:pt idx="1975">
                  <c:v>41736</c:v>
                </c:pt>
                <c:pt idx="1976">
                  <c:v>41737</c:v>
                </c:pt>
                <c:pt idx="1977">
                  <c:v>41738</c:v>
                </c:pt>
                <c:pt idx="1978">
                  <c:v>41739</c:v>
                </c:pt>
                <c:pt idx="1979">
                  <c:v>41740</c:v>
                </c:pt>
                <c:pt idx="1980">
                  <c:v>41743</c:v>
                </c:pt>
                <c:pt idx="1981">
                  <c:v>41744</c:v>
                </c:pt>
                <c:pt idx="1982">
                  <c:v>41745</c:v>
                </c:pt>
                <c:pt idx="1983">
                  <c:v>41746</c:v>
                </c:pt>
                <c:pt idx="1984">
                  <c:v>41750</c:v>
                </c:pt>
                <c:pt idx="1985">
                  <c:v>41751</c:v>
                </c:pt>
                <c:pt idx="1986">
                  <c:v>41752</c:v>
                </c:pt>
                <c:pt idx="1987">
                  <c:v>41753</c:v>
                </c:pt>
                <c:pt idx="1988">
                  <c:v>41754</c:v>
                </c:pt>
                <c:pt idx="1989">
                  <c:v>41757</c:v>
                </c:pt>
                <c:pt idx="1990">
                  <c:v>41758</c:v>
                </c:pt>
                <c:pt idx="1991">
                  <c:v>41759</c:v>
                </c:pt>
                <c:pt idx="1992">
                  <c:v>41760</c:v>
                </c:pt>
                <c:pt idx="1993">
                  <c:v>41761</c:v>
                </c:pt>
                <c:pt idx="1994">
                  <c:v>41764</c:v>
                </c:pt>
                <c:pt idx="1995">
                  <c:v>41765</c:v>
                </c:pt>
                <c:pt idx="1996">
                  <c:v>41766</c:v>
                </c:pt>
                <c:pt idx="1997">
                  <c:v>41767</c:v>
                </c:pt>
                <c:pt idx="1998">
                  <c:v>41768</c:v>
                </c:pt>
                <c:pt idx="1999">
                  <c:v>41771</c:v>
                </c:pt>
                <c:pt idx="2000">
                  <c:v>41772</c:v>
                </c:pt>
                <c:pt idx="2001">
                  <c:v>41773</c:v>
                </c:pt>
                <c:pt idx="2002">
                  <c:v>41774</c:v>
                </c:pt>
                <c:pt idx="2003">
                  <c:v>41775</c:v>
                </c:pt>
                <c:pt idx="2004">
                  <c:v>41778</c:v>
                </c:pt>
                <c:pt idx="2005">
                  <c:v>41779</c:v>
                </c:pt>
                <c:pt idx="2006">
                  <c:v>41780</c:v>
                </c:pt>
                <c:pt idx="2007">
                  <c:v>41781</c:v>
                </c:pt>
                <c:pt idx="2008">
                  <c:v>41782</c:v>
                </c:pt>
                <c:pt idx="2009">
                  <c:v>41786</c:v>
                </c:pt>
                <c:pt idx="2010">
                  <c:v>41787</c:v>
                </c:pt>
                <c:pt idx="2011">
                  <c:v>41788</c:v>
                </c:pt>
                <c:pt idx="2012">
                  <c:v>41789</c:v>
                </c:pt>
                <c:pt idx="2013">
                  <c:v>41792</c:v>
                </c:pt>
                <c:pt idx="2014">
                  <c:v>41793</c:v>
                </c:pt>
                <c:pt idx="2015">
                  <c:v>41794</c:v>
                </c:pt>
                <c:pt idx="2016">
                  <c:v>41795</c:v>
                </c:pt>
                <c:pt idx="2017">
                  <c:v>41796</c:v>
                </c:pt>
                <c:pt idx="2018">
                  <c:v>41799</c:v>
                </c:pt>
                <c:pt idx="2019">
                  <c:v>41800</c:v>
                </c:pt>
                <c:pt idx="2020">
                  <c:v>41801</c:v>
                </c:pt>
                <c:pt idx="2021">
                  <c:v>41802</c:v>
                </c:pt>
                <c:pt idx="2022">
                  <c:v>41803</c:v>
                </c:pt>
                <c:pt idx="2023">
                  <c:v>41806</c:v>
                </c:pt>
                <c:pt idx="2024">
                  <c:v>41807</c:v>
                </c:pt>
                <c:pt idx="2025">
                  <c:v>41808</c:v>
                </c:pt>
                <c:pt idx="2026">
                  <c:v>41809</c:v>
                </c:pt>
                <c:pt idx="2027">
                  <c:v>41810</c:v>
                </c:pt>
                <c:pt idx="2028">
                  <c:v>41813</c:v>
                </c:pt>
                <c:pt idx="2029">
                  <c:v>41814</c:v>
                </c:pt>
                <c:pt idx="2030">
                  <c:v>41815</c:v>
                </c:pt>
                <c:pt idx="2031">
                  <c:v>41816</c:v>
                </c:pt>
                <c:pt idx="2032">
                  <c:v>41817</c:v>
                </c:pt>
                <c:pt idx="2033">
                  <c:v>41820</c:v>
                </c:pt>
                <c:pt idx="2034">
                  <c:v>41821</c:v>
                </c:pt>
                <c:pt idx="2035">
                  <c:v>41822</c:v>
                </c:pt>
                <c:pt idx="2036">
                  <c:v>41823</c:v>
                </c:pt>
                <c:pt idx="2037">
                  <c:v>41827</c:v>
                </c:pt>
                <c:pt idx="2038">
                  <c:v>41828</c:v>
                </c:pt>
                <c:pt idx="2039">
                  <c:v>41829</c:v>
                </c:pt>
                <c:pt idx="2040">
                  <c:v>41830</c:v>
                </c:pt>
                <c:pt idx="2041">
                  <c:v>41831</c:v>
                </c:pt>
                <c:pt idx="2042">
                  <c:v>41834</c:v>
                </c:pt>
                <c:pt idx="2043">
                  <c:v>41835</c:v>
                </c:pt>
                <c:pt idx="2044">
                  <c:v>41836</c:v>
                </c:pt>
                <c:pt idx="2045">
                  <c:v>41837</c:v>
                </c:pt>
                <c:pt idx="2046">
                  <c:v>41838</c:v>
                </c:pt>
                <c:pt idx="2047">
                  <c:v>41841</c:v>
                </c:pt>
                <c:pt idx="2048">
                  <c:v>41842</c:v>
                </c:pt>
                <c:pt idx="2049">
                  <c:v>41843</c:v>
                </c:pt>
                <c:pt idx="2050">
                  <c:v>41844</c:v>
                </c:pt>
                <c:pt idx="2051">
                  <c:v>41845</c:v>
                </c:pt>
                <c:pt idx="2052">
                  <c:v>41848</c:v>
                </c:pt>
                <c:pt idx="2053">
                  <c:v>41849</c:v>
                </c:pt>
                <c:pt idx="2054">
                  <c:v>41850</c:v>
                </c:pt>
                <c:pt idx="2055">
                  <c:v>41851</c:v>
                </c:pt>
                <c:pt idx="2056">
                  <c:v>41852</c:v>
                </c:pt>
                <c:pt idx="2057">
                  <c:v>41855</c:v>
                </c:pt>
                <c:pt idx="2058">
                  <c:v>41856</c:v>
                </c:pt>
                <c:pt idx="2059">
                  <c:v>41857</c:v>
                </c:pt>
                <c:pt idx="2060">
                  <c:v>41858</c:v>
                </c:pt>
                <c:pt idx="2061">
                  <c:v>41859</c:v>
                </c:pt>
                <c:pt idx="2062">
                  <c:v>41862</c:v>
                </c:pt>
                <c:pt idx="2063">
                  <c:v>41863</c:v>
                </c:pt>
                <c:pt idx="2064">
                  <c:v>41864</c:v>
                </c:pt>
                <c:pt idx="2065">
                  <c:v>41865</c:v>
                </c:pt>
                <c:pt idx="2066">
                  <c:v>41866</c:v>
                </c:pt>
                <c:pt idx="2067">
                  <c:v>41869</c:v>
                </c:pt>
                <c:pt idx="2068">
                  <c:v>41870</c:v>
                </c:pt>
                <c:pt idx="2069">
                  <c:v>41871</c:v>
                </c:pt>
                <c:pt idx="2070">
                  <c:v>41872</c:v>
                </c:pt>
                <c:pt idx="2071">
                  <c:v>41873</c:v>
                </c:pt>
                <c:pt idx="2072">
                  <c:v>41876</c:v>
                </c:pt>
                <c:pt idx="2073">
                  <c:v>41877</c:v>
                </c:pt>
                <c:pt idx="2074">
                  <c:v>41878</c:v>
                </c:pt>
                <c:pt idx="2075">
                  <c:v>41879</c:v>
                </c:pt>
                <c:pt idx="2076">
                  <c:v>41880</c:v>
                </c:pt>
                <c:pt idx="2077">
                  <c:v>41884</c:v>
                </c:pt>
                <c:pt idx="2078">
                  <c:v>41885</c:v>
                </c:pt>
                <c:pt idx="2079">
                  <c:v>41886</c:v>
                </c:pt>
                <c:pt idx="2080">
                  <c:v>41887</c:v>
                </c:pt>
                <c:pt idx="2081">
                  <c:v>41890</c:v>
                </c:pt>
                <c:pt idx="2082">
                  <c:v>41891</c:v>
                </c:pt>
                <c:pt idx="2083">
                  <c:v>41892</c:v>
                </c:pt>
                <c:pt idx="2084">
                  <c:v>41893</c:v>
                </c:pt>
                <c:pt idx="2085">
                  <c:v>41894</c:v>
                </c:pt>
                <c:pt idx="2086">
                  <c:v>41897</c:v>
                </c:pt>
                <c:pt idx="2087">
                  <c:v>41898</c:v>
                </c:pt>
                <c:pt idx="2088">
                  <c:v>41899</c:v>
                </c:pt>
                <c:pt idx="2089">
                  <c:v>41900</c:v>
                </c:pt>
                <c:pt idx="2090">
                  <c:v>41901</c:v>
                </c:pt>
                <c:pt idx="2091">
                  <c:v>41904</c:v>
                </c:pt>
                <c:pt idx="2092">
                  <c:v>41905</c:v>
                </c:pt>
                <c:pt idx="2093">
                  <c:v>41906</c:v>
                </c:pt>
                <c:pt idx="2094">
                  <c:v>41907</c:v>
                </c:pt>
                <c:pt idx="2095">
                  <c:v>41908</c:v>
                </c:pt>
                <c:pt idx="2096">
                  <c:v>41911</c:v>
                </c:pt>
                <c:pt idx="2097">
                  <c:v>41912</c:v>
                </c:pt>
                <c:pt idx="2098">
                  <c:v>41913</c:v>
                </c:pt>
                <c:pt idx="2099">
                  <c:v>41914</c:v>
                </c:pt>
                <c:pt idx="2100">
                  <c:v>41915</c:v>
                </c:pt>
                <c:pt idx="2101">
                  <c:v>41918</c:v>
                </c:pt>
                <c:pt idx="2102">
                  <c:v>41919</c:v>
                </c:pt>
                <c:pt idx="2103">
                  <c:v>41920</c:v>
                </c:pt>
                <c:pt idx="2104">
                  <c:v>41921</c:v>
                </c:pt>
                <c:pt idx="2105">
                  <c:v>41922</c:v>
                </c:pt>
                <c:pt idx="2106">
                  <c:v>41925</c:v>
                </c:pt>
                <c:pt idx="2107">
                  <c:v>41926</c:v>
                </c:pt>
                <c:pt idx="2108">
                  <c:v>41927</c:v>
                </c:pt>
                <c:pt idx="2109">
                  <c:v>41928</c:v>
                </c:pt>
                <c:pt idx="2110">
                  <c:v>41929</c:v>
                </c:pt>
                <c:pt idx="2111">
                  <c:v>41932</c:v>
                </c:pt>
                <c:pt idx="2112">
                  <c:v>41933</c:v>
                </c:pt>
                <c:pt idx="2113">
                  <c:v>41934</c:v>
                </c:pt>
                <c:pt idx="2114">
                  <c:v>41935</c:v>
                </c:pt>
                <c:pt idx="2115">
                  <c:v>41936</c:v>
                </c:pt>
                <c:pt idx="2116">
                  <c:v>41939</c:v>
                </c:pt>
                <c:pt idx="2117">
                  <c:v>41940</c:v>
                </c:pt>
                <c:pt idx="2118">
                  <c:v>41941</c:v>
                </c:pt>
                <c:pt idx="2119">
                  <c:v>41942</c:v>
                </c:pt>
                <c:pt idx="2120">
                  <c:v>41943</c:v>
                </c:pt>
                <c:pt idx="2121">
                  <c:v>41946</c:v>
                </c:pt>
                <c:pt idx="2122">
                  <c:v>41947</c:v>
                </c:pt>
                <c:pt idx="2123">
                  <c:v>41948</c:v>
                </c:pt>
                <c:pt idx="2124">
                  <c:v>41949</c:v>
                </c:pt>
                <c:pt idx="2125">
                  <c:v>41950</c:v>
                </c:pt>
                <c:pt idx="2126">
                  <c:v>41953</c:v>
                </c:pt>
                <c:pt idx="2127">
                  <c:v>41954</c:v>
                </c:pt>
                <c:pt idx="2128">
                  <c:v>41955</c:v>
                </c:pt>
                <c:pt idx="2129">
                  <c:v>41956</c:v>
                </c:pt>
                <c:pt idx="2130">
                  <c:v>41957</c:v>
                </c:pt>
                <c:pt idx="2131">
                  <c:v>41960</c:v>
                </c:pt>
                <c:pt idx="2132">
                  <c:v>41961</c:v>
                </c:pt>
                <c:pt idx="2133">
                  <c:v>41962</c:v>
                </c:pt>
                <c:pt idx="2134">
                  <c:v>41963</c:v>
                </c:pt>
                <c:pt idx="2135">
                  <c:v>41964</c:v>
                </c:pt>
                <c:pt idx="2136">
                  <c:v>41967</c:v>
                </c:pt>
                <c:pt idx="2137">
                  <c:v>41968</c:v>
                </c:pt>
                <c:pt idx="2138">
                  <c:v>41969</c:v>
                </c:pt>
                <c:pt idx="2139">
                  <c:v>41971</c:v>
                </c:pt>
                <c:pt idx="2140">
                  <c:v>41974</c:v>
                </c:pt>
                <c:pt idx="2141">
                  <c:v>41975</c:v>
                </c:pt>
                <c:pt idx="2142">
                  <c:v>41976</c:v>
                </c:pt>
                <c:pt idx="2143">
                  <c:v>41977</c:v>
                </c:pt>
                <c:pt idx="2144">
                  <c:v>41978</c:v>
                </c:pt>
                <c:pt idx="2145">
                  <c:v>41981</c:v>
                </c:pt>
                <c:pt idx="2146">
                  <c:v>41982</c:v>
                </c:pt>
                <c:pt idx="2147">
                  <c:v>41983</c:v>
                </c:pt>
                <c:pt idx="2148">
                  <c:v>41984</c:v>
                </c:pt>
                <c:pt idx="2149">
                  <c:v>41985</c:v>
                </c:pt>
                <c:pt idx="2150">
                  <c:v>41988</c:v>
                </c:pt>
                <c:pt idx="2151">
                  <c:v>41989</c:v>
                </c:pt>
                <c:pt idx="2152">
                  <c:v>41990</c:v>
                </c:pt>
                <c:pt idx="2153">
                  <c:v>41991</c:v>
                </c:pt>
                <c:pt idx="2154">
                  <c:v>41992</c:v>
                </c:pt>
                <c:pt idx="2155">
                  <c:v>41995</c:v>
                </c:pt>
                <c:pt idx="2156">
                  <c:v>41996</c:v>
                </c:pt>
                <c:pt idx="2157">
                  <c:v>41997</c:v>
                </c:pt>
                <c:pt idx="2158">
                  <c:v>41999</c:v>
                </c:pt>
                <c:pt idx="2159">
                  <c:v>42002</c:v>
                </c:pt>
                <c:pt idx="2160">
                  <c:v>42003</c:v>
                </c:pt>
                <c:pt idx="2161">
                  <c:v>42004</c:v>
                </c:pt>
              </c:numCache>
            </c:numRef>
          </c:cat>
          <c:val>
            <c:numRef>
              <c:f>Sheet1!$B$2:$B$2163</c:f>
              <c:numCache>
                <c:formatCode>General</c:formatCode>
                <c:ptCount val="2162"/>
                <c:pt idx="0">
                  <c:v>14.52</c:v>
                </c:pt>
                <c:pt idx="1">
                  <c:v>14.32</c:v>
                </c:pt>
                <c:pt idx="2">
                  <c:v>16.649999999999999</c:v>
                </c:pt>
                <c:pt idx="3">
                  <c:v>17.34</c:v>
                </c:pt>
                <c:pt idx="4">
                  <c:v>17.8</c:v>
                </c:pt>
                <c:pt idx="5">
                  <c:v>18.350000000000001</c:v>
                </c:pt>
                <c:pt idx="6">
                  <c:v>18.12</c:v>
                </c:pt>
                <c:pt idx="7">
                  <c:v>20.96</c:v>
                </c:pt>
                <c:pt idx="8">
                  <c:v>23.81</c:v>
                </c:pt>
                <c:pt idx="9">
                  <c:v>21.46</c:v>
                </c:pt>
                <c:pt idx="10">
                  <c:v>15.9</c:v>
                </c:pt>
                <c:pt idx="11">
                  <c:v>17.25</c:v>
                </c:pt>
                <c:pt idx="12">
                  <c:v>17.829999999999998</c:v>
                </c:pt>
                <c:pt idx="13">
                  <c:v>16.690000000000001</c:v>
                </c:pt>
                <c:pt idx="14">
                  <c:v>15.52</c:v>
                </c:pt>
                <c:pt idx="15">
                  <c:v>15.88</c:v>
                </c:pt>
                <c:pt idx="16">
                  <c:v>15.89</c:v>
                </c:pt>
                <c:pt idx="17">
                  <c:v>15.62</c:v>
                </c:pt>
                <c:pt idx="18">
                  <c:v>16.399999999999999</c:v>
                </c:pt>
                <c:pt idx="19">
                  <c:v>15.79</c:v>
                </c:pt>
                <c:pt idx="20">
                  <c:v>13.03</c:v>
                </c:pt>
                <c:pt idx="21">
                  <c:v>13.08</c:v>
                </c:pt>
                <c:pt idx="22">
                  <c:v>13.05</c:v>
                </c:pt>
                <c:pt idx="23">
                  <c:v>14.15</c:v>
                </c:pt>
                <c:pt idx="24">
                  <c:v>13.65</c:v>
                </c:pt>
                <c:pt idx="25">
                  <c:v>13.97</c:v>
                </c:pt>
                <c:pt idx="26">
                  <c:v>14.02</c:v>
                </c:pt>
                <c:pt idx="27">
                  <c:v>13.14</c:v>
                </c:pt>
                <c:pt idx="28">
                  <c:v>14.49</c:v>
                </c:pt>
                <c:pt idx="29">
                  <c:v>17.79</c:v>
                </c:pt>
                <c:pt idx="30">
                  <c:v>18.05</c:v>
                </c:pt>
                <c:pt idx="31">
                  <c:v>18.64</c:v>
                </c:pt>
                <c:pt idx="32">
                  <c:v>17.739999999999998</c:v>
                </c:pt>
                <c:pt idx="33">
                  <c:v>15.55</c:v>
                </c:pt>
                <c:pt idx="34">
                  <c:v>16.21</c:v>
                </c:pt>
                <c:pt idx="35">
                  <c:v>17.399999999999999</c:v>
                </c:pt>
                <c:pt idx="36">
                  <c:v>14.98</c:v>
                </c:pt>
                <c:pt idx="37">
                  <c:v>14.85</c:v>
                </c:pt>
                <c:pt idx="38">
                  <c:v>14.62</c:v>
                </c:pt>
                <c:pt idx="39">
                  <c:v>14.94</c:v>
                </c:pt>
                <c:pt idx="40">
                  <c:v>14.33</c:v>
                </c:pt>
                <c:pt idx="41">
                  <c:v>14.95</c:v>
                </c:pt>
                <c:pt idx="42">
                  <c:v>15.05</c:v>
                </c:pt>
                <c:pt idx="43">
                  <c:v>14.34</c:v>
                </c:pt>
                <c:pt idx="44">
                  <c:v>14.46</c:v>
                </c:pt>
                <c:pt idx="45">
                  <c:v>14.34</c:v>
                </c:pt>
                <c:pt idx="46">
                  <c:v>15.23</c:v>
                </c:pt>
                <c:pt idx="47">
                  <c:v>15.23</c:v>
                </c:pt>
                <c:pt idx="48">
                  <c:v>15.2</c:v>
                </c:pt>
                <c:pt idx="49">
                  <c:v>14.46</c:v>
                </c:pt>
                <c:pt idx="50">
                  <c:v>14.3</c:v>
                </c:pt>
                <c:pt idx="51">
                  <c:v>14.26</c:v>
                </c:pt>
                <c:pt idx="52">
                  <c:v>13.42</c:v>
                </c:pt>
                <c:pt idx="53">
                  <c:v>12.41</c:v>
                </c:pt>
                <c:pt idx="54">
                  <c:v>12.24</c:v>
                </c:pt>
                <c:pt idx="55">
                  <c:v>11.64</c:v>
                </c:pt>
                <c:pt idx="56">
                  <c:v>12.22</c:v>
                </c:pt>
                <c:pt idx="57">
                  <c:v>12.19</c:v>
                </c:pt>
                <c:pt idx="58">
                  <c:v>12.4</c:v>
                </c:pt>
                <c:pt idx="59">
                  <c:v>12.4</c:v>
                </c:pt>
                <c:pt idx="60">
                  <c:v>12.31</c:v>
                </c:pt>
                <c:pt idx="61">
                  <c:v>12.18</c:v>
                </c:pt>
                <c:pt idx="62">
                  <c:v>12.28</c:v>
                </c:pt>
                <c:pt idx="63">
                  <c:v>12.22</c:v>
                </c:pt>
                <c:pt idx="64">
                  <c:v>12.31</c:v>
                </c:pt>
                <c:pt idx="65">
                  <c:v>11.96</c:v>
                </c:pt>
                <c:pt idx="66">
                  <c:v>12.63</c:v>
                </c:pt>
                <c:pt idx="67">
                  <c:v>13.74</c:v>
                </c:pt>
                <c:pt idx="68">
                  <c:v>13.88</c:v>
                </c:pt>
                <c:pt idx="69">
                  <c:v>13.16</c:v>
                </c:pt>
                <c:pt idx="70">
                  <c:v>12.99</c:v>
                </c:pt>
                <c:pt idx="71">
                  <c:v>11.92</c:v>
                </c:pt>
                <c:pt idx="72">
                  <c:v>11.18</c:v>
                </c:pt>
                <c:pt idx="73">
                  <c:v>11.55</c:v>
                </c:pt>
                <c:pt idx="74">
                  <c:v>11.76</c:v>
                </c:pt>
                <c:pt idx="75">
                  <c:v>11.78</c:v>
                </c:pt>
                <c:pt idx="76">
                  <c:v>11.98</c:v>
                </c:pt>
                <c:pt idx="77">
                  <c:v>11.39</c:v>
                </c:pt>
                <c:pt idx="78">
                  <c:v>12.25</c:v>
                </c:pt>
                <c:pt idx="79">
                  <c:v>12.59</c:v>
                </c:pt>
                <c:pt idx="80">
                  <c:v>12.12</c:v>
                </c:pt>
                <c:pt idx="81">
                  <c:v>11.53</c:v>
                </c:pt>
                <c:pt idx="82">
                  <c:v>11.58</c:v>
                </c:pt>
                <c:pt idx="83">
                  <c:v>11.72</c:v>
                </c:pt>
                <c:pt idx="84">
                  <c:v>11.98</c:v>
                </c:pt>
                <c:pt idx="85">
                  <c:v>12.57</c:v>
                </c:pt>
                <c:pt idx="86">
                  <c:v>12.24</c:v>
                </c:pt>
                <c:pt idx="87">
                  <c:v>11.86</c:v>
                </c:pt>
                <c:pt idx="88">
                  <c:v>11.98</c:v>
                </c:pt>
                <c:pt idx="89">
                  <c:v>11.56</c:v>
                </c:pt>
                <c:pt idx="90">
                  <c:v>11.68</c:v>
                </c:pt>
                <c:pt idx="91">
                  <c:v>11.52</c:v>
                </c:pt>
                <c:pt idx="92">
                  <c:v>11.62</c:v>
                </c:pt>
                <c:pt idx="93">
                  <c:v>11.09</c:v>
                </c:pt>
                <c:pt idx="94">
                  <c:v>10.75</c:v>
                </c:pt>
                <c:pt idx="95">
                  <c:v>11.09</c:v>
                </c:pt>
                <c:pt idx="96">
                  <c:v>11.73</c:v>
                </c:pt>
                <c:pt idx="97">
                  <c:v>11.34</c:v>
                </c:pt>
                <c:pt idx="98">
                  <c:v>10.9</c:v>
                </c:pt>
                <c:pt idx="99">
                  <c:v>10.63</c:v>
                </c:pt>
                <c:pt idx="100">
                  <c:v>11.08</c:v>
                </c:pt>
                <c:pt idx="101">
                  <c:v>10.78</c:v>
                </c:pt>
                <c:pt idx="102">
                  <c:v>10.66</c:v>
                </c:pt>
                <c:pt idx="103">
                  <c:v>10.56</c:v>
                </c:pt>
                <c:pt idx="104">
                  <c:v>10.8</c:v>
                </c:pt>
                <c:pt idx="105">
                  <c:v>11.2</c:v>
                </c:pt>
                <c:pt idx="106">
                  <c:v>11.1</c:v>
                </c:pt>
                <c:pt idx="107">
                  <c:v>11.51</c:v>
                </c:pt>
                <c:pt idx="108">
                  <c:v>11.42</c:v>
                </c:pt>
                <c:pt idx="109">
                  <c:v>11.16</c:v>
                </c:pt>
                <c:pt idx="110">
                  <c:v>11.16</c:v>
                </c:pt>
                <c:pt idx="111">
                  <c:v>11.09</c:v>
                </c:pt>
                <c:pt idx="112">
                  <c:v>10.75</c:v>
                </c:pt>
                <c:pt idx="113">
                  <c:v>11.01</c:v>
                </c:pt>
                <c:pt idx="114">
                  <c:v>10.79</c:v>
                </c:pt>
                <c:pt idx="115">
                  <c:v>10.86</c:v>
                </c:pt>
                <c:pt idx="116">
                  <c:v>10.5</c:v>
                </c:pt>
                <c:pt idx="117">
                  <c:v>10.31</c:v>
                </c:pt>
                <c:pt idx="118">
                  <c:v>10.16</c:v>
                </c:pt>
                <c:pt idx="119">
                  <c:v>10.050000000000001</c:v>
                </c:pt>
                <c:pt idx="120">
                  <c:v>9.9700000000000006</c:v>
                </c:pt>
                <c:pt idx="121">
                  <c:v>9.9</c:v>
                </c:pt>
                <c:pt idx="122">
                  <c:v>10.14</c:v>
                </c:pt>
                <c:pt idx="123">
                  <c:v>10.73</c:v>
                </c:pt>
                <c:pt idx="124">
                  <c:v>12.3</c:v>
                </c:pt>
                <c:pt idx="125">
                  <c:v>11.62</c:v>
                </c:pt>
                <c:pt idx="126">
                  <c:v>10.83</c:v>
                </c:pt>
                <c:pt idx="127">
                  <c:v>10.91</c:v>
                </c:pt>
                <c:pt idx="128">
                  <c:v>11.66</c:v>
                </c:pt>
                <c:pt idx="129">
                  <c:v>11.23</c:v>
                </c:pt>
                <c:pt idx="130">
                  <c:v>11.27</c:v>
                </c:pt>
                <c:pt idx="131">
                  <c:v>11.33</c:v>
                </c:pt>
                <c:pt idx="132">
                  <c:v>12.67</c:v>
                </c:pt>
                <c:pt idx="133">
                  <c:v>12.07</c:v>
                </c:pt>
                <c:pt idx="134">
                  <c:v>10.71</c:v>
                </c:pt>
                <c:pt idx="135">
                  <c:v>10.65</c:v>
                </c:pt>
                <c:pt idx="136">
                  <c:v>10.18</c:v>
                </c:pt>
                <c:pt idx="137">
                  <c:v>9.9700000000000006</c:v>
                </c:pt>
                <c:pt idx="138">
                  <c:v>10.050000000000001</c:v>
                </c:pt>
                <c:pt idx="139">
                  <c:v>10.6</c:v>
                </c:pt>
                <c:pt idx="140">
                  <c:v>10.3</c:v>
                </c:pt>
                <c:pt idx="141">
                  <c:v>10.26</c:v>
                </c:pt>
                <c:pt idx="142">
                  <c:v>10.53</c:v>
                </c:pt>
                <c:pt idx="143">
                  <c:v>11.36</c:v>
                </c:pt>
                <c:pt idx="144">
                  <c:v>11.26</c:v>
                </c:pt>
                <c:pt idx="145">
                  <c:v>10.64</c:v>
                </c:pt>
                <c:pt idx="146">
                  <c:v>10.99</c:v>
                </c:pt>
                <c:pt idx="147">
                  <c:v>11.56</c:v>
                </c:pt>
                <c:pt idx="148">
                  <c:v>12.04</c:v>
                </c:pt>
                <c:pt idx="149">
                  <c:v>11.51</c:v>
                </c:pt>
                <c:pt idx="150">
                  <c:v>12.14</c:v>
                </c:pt>
                <c:pt idx="151">
                  <c:v>12</c:v>
                </c:pt>
                <c:pt idx="152">
                  <c:v>11.91</c:v>
                </c:pt>
                <c:pt idx="153">
                  <c:v>11.47</c:v>
                </c:pt>
                <c:pt idx="154">
                  <c:v>10.87</c:v>
                </c:pt>
                <c:pt idx="155">
                  <c:v>10.15</c:v>
                </c:pt>
                <c:pt idx="156">
                  <c:v>10.74</c:v>
                </c:pt>
                <c:pt idx="157">
                  <c:v>10.59</c:v>
                </c:pt>
                <c:pt idx="158">
                  <c:v>10.85</c:v>
                </c:pt>
                <c:pt idx="159">
                  <c:v>10.4</c:v>
                </c:pt>
                <c:pt idx="160">
                  <c:v>10.77</c:v>
                </c:pt>
                <c:pt idx="161">
                  <c:v>10.34</c:v>
                </c:pt>
                <c:pt idx="162">
                  <c:v>9.89</c:v>
                </c:pt>
                <c:pt idx="163">
                  <c:v>11.22</c:v>
                </c:pt>
                <c:pt idx="164">
                  <c:v>11.13</c:v>
                </c:pt>
                <c:pt idx="165">
                  <c:v>11.45</c:v>
                </c:pt>
                <c:pt idx="166">
                  <c:v>10.96</c:v>
                </c:pt>
                <c:pt idx="167">
                  <c:v>10.42</c:v>
                </c:pt>
                <c:pt idx="168">
                  <c:v>10.31</c:v>
                </c:pt>
                <c:pt idx="169">
                  <c:v>10.08</c:v>
                </c:pt>
                <c:pt idx="170">
                  <c:v>10.55</c:v>
                </c:pt>
                <c:pt idx="171">
                  <c:v>10.65</c:v>
                </c:pt>
                <c:pt idx="172">
                  <c:v>10.32</c:v>
                </c:pt>
                <c:pt idx="173">
                  <c:v>10.44</c:v>
                </c:pt>
                <c:pt idx="174">
                  <c:v>11.1</c:v>
                </c:pt>
                <c:pt idx="175">
                  <c:v>11.61</c:v>
                </c:pt>
                <c:pt idx="176">
                  <c:v>10.34</c:v>
                </c:pt>
                <c:pt idx="177">
                  <c:v>10.23</c:v>
                </c:pt>
                <c:pt idx="178">
                  <c:v>10.220000000000001</c:v>
                </c:pt>
                <c:pt idx="179">
                  <c:v>10.02</c:v>
                </c:pt>
                <c:pt idx="180">
                  <c:v>10.24</c:v>
                </c:pt>
                <c:pt idx="181">
                  <c:v>10.199999999999999</c:v>
                </c:pt>
                <c:pt idx="182">
                  <c:v>10.18</c:v>
                </c:pt>
                <c:pt idx="183">
                  <c:v>10.58</c:v>
                </c:pt>
                <c:pt idx="184">
                  <c:v>11.15</c:v>
                </c:pt>
                <c:pt idx="185">
                  <c:v>18.309999999999999</c:v>
                </c:pt>
                <c:pt idx="186">
                  <c:v>15.42</c:v>
                </c:pt>
                <c:pt idx="187">
                  <c:v>15.82</c:v>
                </c:pt>
                <c:pt idx="188">
                  <c:v>18.61</c:v>
                </c:pt>
                <c:pt idx="189">
                  <c:v>19.63</c:v>
                </c:pt>
                <c:pt idx="190">
                  <c:v>15.96</c:v>
                </c:pt>
                <c:pt idx="191">
                  <c:v>15.24</c:v>
                </c:pt>
                <c:pt idx="192">
                  <c:v>14.29</c:v>
                </c:pt>
                <c:pt idx="193">
                  <c:v>14.09</c:v>
                </c:pt>
                <c:pt idx="194">
                  <c:v>13.99</c:v>
                </c:pt>
                <c:pt idx="195">
                  <c:v>18.13</c:v>
                </c:pt>
                <c:pt idx="196">
                  <c:v>17.27</c:v>
                </c:pt>
                <c:pt idx="197">
                  <c:v>16.43</c:v>
                </c:pt>
                <c:pt idx="198">
                  <c:v>16.79</c:v>
                </c:pt>
                <c:pt idx="199">
                  <c:v>14.59</c:v>
                </c:pt>
                <c:pt idx="200">
                  <c:v>13.27</c:v>
                </c:pt>
                <c:pt idx="201">
                  <c:v>12.19</c:v>
                </c:pt>
                <c:pt idx="202">
                  <c:v>12.93</c:v>
                </c:pt>
                <c:pt idx="203">
                  <c:v>12.95</c:v>
                </c:pt>
                <c:pt idx="204">
                  <c:v>13.16</c:v>
                </c:pt>
                <c:pt idx="205">
                  <c:v>13.48</c:v>
                </c:pt>
                <c:pt idx="206">
                  <c:v>14.98</c:v>
                </c:pt>
                <c:pt idx="207">
                  <c:v>15.14</c:v>
                </c:pt>
                <c:pt idx="208">
                  <c:v>14.64</c:v>
                </c:pt>
                <c:pt idx="209">
                  <c:v>14.53</c:v>
                </c:pt>
                <c:pt idx="210">
                  <c:v>13.46</c:v>
                </c:pt>
                <c:pt idx="211">
                  <c:v>13.24</c:v>
                </c:pt>
                <c:pt idx="212">
                  <c:v>13.23</c:v>
                </c:pt>
                <c:pt idx="213">
                  <c:v>13.14</c:v>
                </c:pt>
                <c:pt idx="214">
                  <c:v>12.68</c:v>
                </c:pt>
                <c:pt idx="215">
                  <c:v>13.49</c:v>
                </c:pt>
                <c:pt idx="216">
                  <c:v>12.71</c:v>
                </c:pt>
                <c:pt idx="217">
                  <c:v>12.2</c:v>
                </c:pt>
                <c:pt idx="218">
                  <c:v>11.98</c:v>
                </c:pt>
                <c:pt idx="219">
                  <c:v>12.14</c:v>
                </c:pt>
                <c:pt idx="220">
                  <c:v>12.42</c:v>
                </c:pt>
                <c:pt idx="221">
                  <c:v>12.54</c:v>
                </c:pt>
                <c:pt idx="222">
                  <c:v>12.07</c:v>
                </c:pt>
                <c:pt idx="223">
                  <c:v>13.04</c:v>
                </c:pt>
                <c:pt idx="224">
                  <c:v>13.12</c:v>
                </c:pt>
                <c:pt idx="225">
                  <c:v>13.21</c:v>
                </c:pt>
                <c:pt idx="226">
                  <c:v>12.79</c:v>
                </c:pt>
                <c:pt idx="227">
                  <c:v>12.45</c:v>
                </c:pt>
                <c:pt idx="228">
                  <c:v>14.22</c:v>
                </c:pt>
                <c:pt idx="229">
                  <c:v>13.51</c:v>
                </c:pt>
                <c:pt idx="230">
                  <c:v>13.08</c:v>
                </c:pt>
                <c:pt idx="231">
                  <c:v>13.09</c:v>
                </c:pt>
                <c:pt idx="232">
                  <c:v>12.91</c:v>
                </c:pt>
                <c:pt idx="233">
                  <c:v>13.15</c:v>
                </c:pt>
                <c:pt idx="234">
                  <c:v>13.21</c:v>
                </c:pt>
                <c:pt idx="235">
                  <c:v>12.88</c:v>
                </c:pt>
                <c:pt idx="236">
                  <c:v>13.6</c:v>
                </c:pt>
                <c:pt idx="237">
                  <c:v>12.95</c:v>
                </c:pt>
                <c:pt idx="238">
                  <c:v>13.96</c:v>
                </c:pt>
                <c:pt idx="239">
                  <c:v>14.01</c:v>
                </c:pt>
                <c:pt idx="240">
                  <c:v>13.5</c:v>
                </c:pt>
                <c:pt idx="241">
                  <c:v>13.51</c:v>
                </c:pt>
                <c:pt idx="242">
                  <c:v>12.76</c:v>
                </c:pt>
                <c:pt idx="243">
                  <c:v>13.3</c:v>
                </c:pt>
                <c:pt idx="244">
                  <c:v>13.06</c:v>
                </c:pt>
                <c:pt idx="245">
                  <c:v>13.24</c:v>
                </c:pt>
                <c:pt idx="246">
                  <c:v>14.08</c:v>
                </c:pt>
                <c:pt idx="247">
                  <c:v>13.34</c:v>
                </c:pt>
                <c:pt idx="248">
                  <c:v>13.53</c:v>
                </c:pt>
                <c:pt idx="249">
                  <c:v>12.83</c:v>
                </c:pt>
                <c:pt idx="250">
                  <c:v>13.05</c:v>
                </c:pt>
                <c:pt idx="251">
                  <c:v>12.78</c:v>
                </c:pt>
                <c:pt idx="252">
                  <c:v>13.29</c:v>
                </c:pt>
                <c:pt idx="253">
                  <c:v>13.63</c:v>
                </c:pt>
                <c:pt idx="254">
                  <c:v>14.87</c:v>
                </c:pt>
                <c:pt idx="255">
                  <c:v>17.059999999999999</c:v>
                </c:pt>
                <c:pt idx="256">
                  <c:v>14.84</c:v>
                </c:pt>
                <c:pt idx="257">
                  <c:v>14.71</c:v>
                </c:pt>
                <c:pt idx="258">
                  <c:v>16.670000000000002</c:v>
                </c:pt>
                <c:pt idx="259">
                  <c:v>14.73</c:v>
                </c:pt>
                <c:pt idx="260">
                  <c:v>13.64</c:v>
                </c:pt>
                <c:pt idx="261">
                  <c:v>13.94</c:v>
                </c:pt>
                <c:pt idx="262">
                  <c:v>13.42</c:v>
                </c:pt>
                <c:pt idx="263">
                  <c:v>12.85</c:v>
                </c:pt>
                <c:pt idx="264">
                  <c:v>14.67</c:v>
                </c:pt>
                <c:pt idx="265">
                  <c:v>14.21</c:v>
                </c:pt>
                <c:pt idx="266">
                  <c:v>15.75</c:v>
                </c:pt>
                <c:pt idx="267">
                  <c:v>16.649999999999999</c:v>
                </c:pt>
                <c:pt idx="268">
                  <c:v>18.89</c:v>
                </c:pt>
                <c:pt idx="269">
                  <c:v>15.53</c:v>
                </c:pt>
                <c:pt idx="270">
                  <c:v>15.54</c:v>
                </c:pt>
                <c:pt idx="271">
                  <c:v>16.23</c:v>
                </c:pt>
                <c:pt idx="272">
                  <c:v>15.4</c:v>
                </c:pt>
                <c:pt idx="273">
                  <c:v>14.92</c:v>
                </c:pt>
                <c:pt idx="274">
                  <c:v>15.48</c:v>
                </c:pt>
                <c:pt idx="275">
                  <c:v>14.72</c:v>
                </c:pt>
                <c:pt idx="276">
                  <c:v>15.16</c:v>
                </c:pt>
                <c:pt idx="277">
                  <c:v>17.57</c:v>
                </c:pt>
                <c:pt idx="278">
                  <c:v>16.64</c:v>
                </c:pt>
                <c:pt idx="279">
                  <c:v>15.54</c:v>
                </c:pt>
                <c:pt idx="280">
                  <c:v>15.15</c:v>
                </c:pt>
                <c:pt idx="281">
                  <c:v>15.59</c:v>
                </c:pt>
                <c:pt idx="282">
                  <c:v>15.63</c:v>
                </c:pt>
                <c:pt idx="283">
                  <c:v>16</c:v>
                </c:pt>
                <c:pt idx="284">
                  <c:v>15.23</c:v>
                </c:pt>
                <c:pt idx="285">
                  <c:v>16.95</c:v>
                </c:pt>
                <c:pt idx="286">
                  <c:v>16.809999999999999</c:v>
                </c:pt>
                <c:pt idx="287">
                  <c:v>18.55</c:v>
                </c:pt>
                <c:pt idx="288">
                  <c:v>18.100000000000001</c:v>
                </c:pt>
                <c:pt idx="289">
                  <c:v>20.74</c:v>
                </c:pt>
                <c:pt idx="290">
                  <c:v>24.17</c:v>
                </c:pt>
                <c:pt idx="291">
                  <c:v>20.87</c:v>
                </c:pt>
                <c:pt idx="292">
                  <c:v>23.52</c:v>
                </c:pt>
                <c:pt idx="293">
                  <c:v>23.67</c:v>
                </c:pt>
                <c:pt idx="294">
                  <c:v>21.22</c:v>
                </c:pt>
                <c:pt idx="295">
                  <c:v>25.16</c:v>
                </c:pt>
                <c:pt idx="296">
                  <c:v>22.94</c:v>
                </c:pt>
                <c:pt idx="297">
                  <c:v>21.56</c:v>
                </c:pt>
                <c:pt idx="298">
                  <c:v>21.45</c:v>
                </c:pt>
                <c:pt idx="299">
                  <c:v>26.48</c:v>
                </c:pt>
                <c:pt idx="300">
                  <c:v>28.3</c:v>
                </c:pt>
                <c:pt idx="301">
                  <c:v>26.57</c:v>
                </c:pt>
                <c:pt idx="302">
                  <c:v>27.68</c:v>
                </c:pt>
                <c:pt idx="303">
                  <c:v>30.67</c:v>
                </c:pt>
                <c:pt idx="304">
                  <c:v>30.83</c:v>
                </c:pt>
                <c:pt idx="305">
                  <c:v>29.99</c:v>
                </c:pt>
                <c:pt idx="306">
                  <c:v>26.33</c:v>
                </c:pt>
                <c:pt idx="307">
                  <c:v>25.25</c:v>
                </c:pt>
                <c:pt idx="308">
                  <c:v>22.89</c:v>
                </c:pt>
                <c:pt idx="309">
                  <c:v>22.62</c:v>
                </c:pt>
                <c:pt idx="310">
                  <c:v>20.72</c:v>
                </c:pt>
                <c:pt idx="311">
                  <c:v>22.72</c:v>
                </c:pt>
                <c:pt idx="312">
                  <c:v>26.3</c:v>
                </c:pt>
                <c:pt idx="313">
                  <c:v>23.81</c:v>
                </c:pt>
                <c:pt idx="314">
                  <c:v>25.06</c:v>
                </c:pt>
                <c:pt idx="315">
                  <c:v>23.38</c:v>
                </c:pt>
                <c:pt idx="316">
                  <c:v>22.78</c:v>
                </c:pt>
                <c:pt idx="317">
                  <c:v>24.58</c:v>
                </c:pt>
                <c:pt idx="318">
                  <c:v>23.99</c:v>
                </c:pt>
                <c:pt idx="319">
                  <c:v>26.23</c:v>
                </c:pt>
                <c:pt idx="320">
                  <c:v>27.38</c:v>
                </c:pt>
                <c:pt idx="321">
                  <c:v>25.27</c:v>
                </c:pt>
                <c:pt idx="322">
                  <c:v>24.96</c:v>
                </c:pt>
                <c:pt idx="323">
                  <c:v>24.76</c:v>
                </c:pt>
                <c:pt idx="324">
                  <c:v>24.92</c:v>
                </c:pt>
                <c:pt idx="325">
                  <c:v>26.48</c:v>
                </c:pt>
                <c:pt idx="326">
                  <c:v>20.350000000000001</c:v>
                </c:pt>
                <c:pt idx="327">
                  <c:v>20.03</c:v>
                </c:pt>
                <c:pt idx="328">
                  <c:v>20.45</c:v>
                </c:pt>
                <c:pt idx="329">
                  <c:v>19</c:v>
                </c:pt>
                <c:pt idx="330">
                  <c:v>19.37</c:v>
                </c:pt>
                <c:pt idx="331">
                  <c:v>18.600000000000001</c:v>
                </c:pt>
                <c:pt idx="332">
                  <c:v>17.63</c:v>
                </c:pt>
                <c:pt idx="333">
                  <c:v>17</c:v>
                </c:pt>
                <c:pt idx="334">
                  <c:v>18</c:v>
                </c:pt>
                <c:pt idx="335">
                  <c:v>17.84</c:v>
                </c:pt>
                <c:pt idx="336">
                  <c:v>18.489999999999998</c:v>
                </c:pt>
                <c:pt idx="337">
                  <c:v>18.8</c:v>
                </c:pt>
                <c:pt idx="338">
                  <c:v>18.440000000000001</c:v>
                </c:pt>
                <c:pt idx="339">
                  <c:v>16.91</c:v>
                </c:pt>
                <c:pt idx="340">
                  <c:v>17.46</c:v>
                </c:pt>
                <c:pt idx="341">
                  <c:v>16.12</c:v>
                </c:pt>
                <c:pt idx="342">
                  <c:v>16.670000000000002</c:v>
                </c:pt>
                <c:pt idx="343">
                  <c:v>18.88</c:v>
                </c:pt>
                <c:pt idx="344">
                  <c:v>17.73</c:v>
                </c:pt>
                <c:pt idx="345">
                  <c:v>19.25</c:v>
                </c:pt>
                <c:pt idx="346">
                  <c:v>20.02</c:v>
                </c:pt>
                <c:pt idx="347">
                  <c:v>18.54</c:v>
                </c:pt>
                <c:pt idx="348">
                  <c:v>18.5</c:v>
                </c:pt>
                <c:pt idx="349">
                  <c:v>22.96</c:v>
                </c:pt>
                <c:pt idx="350">
                  <c:v>21.64</c:v>
                </c:pt>
                <c:pt idx="351">
                  <c:v>20.41</c:v>
                </c:pt>
                <c:pt idx="352">
                  <c:v>20.8</c:v>
                </c:pt>
                <c:pt idx="353">
                  <c:v>21.17</c:v>
                </c:pt>
                <c:pt idx="354">
                  <c:v>19.559999999999999</c:v>
                </c:pt>
                <c:pt idx="355">
                  <c:v>19.87</c:v>
                </c:pt>
                <c:pt idx="356">
                  <c:v>21.07</c:v>
                </c:pt>
                <c:pt idx="357">
                  <c:v>18.53</c:v>
                </c:pt>
                <c:pt idx="358">
                  <c:v>23.21</c:v>
                </c:pt>
                <c:pt idx="359">
                  <c:v>23.01</c:v>
                </c:pt>
                <c:pt idx="360">
                  <c:v>24.31</c:v>
                </c:pt>
                <c:pt idx="361">
                  <c:v>21.39</c:v>
                </c:pt>
                <c:pt idx="362">
                  <c:v>26.49</c:v>
                </c:pt>
                <c:pt idx="363">
                  <c:v>26.16</c:v>
                </c:pt>
                <c:pt idx="364">
                  <c:v>28.5</c:v>
                </c:pt>
                <c:pt idx="365">
                  <c:v>31.09</c:v>
                </c:pt>
                <c:pt idx="366">
                  <c:v>24.1</c:v>
                </c:pt>
                <c:pt idx="367">
                  <c:v>25.94</c:v>
                </c:pt>
                <c:pt idx="368">
                  <c:v>28.06</c:v>
                </c:pt>
                <c:pt idx="369">
                  <c:v>25.49</c:v>
                </c:pt>
                <c:pt idx="370">
                  <c:v>26.01</c:v>
                </c:pt>
                <c:pt idx="371">
                  <c:v>24.88</c:v>
                </c:pt>
                <c:pt idx="372">
                  <c:v>26.84</c:v>
                </c:pt>
                <c:pt idx="373">
                  <c:v>25.61</c:v>
                </c:pt>
                <c:pt idx="374">
                  <c:v>28.91</c:v>
                </c:pt>
                <c:pt idx="375">
                  <c:v>26.28</c:v>
                </c:pt>
                <c:pt idx="376">
                  <c:v>24.11</c:v>
                </c:pt>
                <c:pt idx="377">
                  <c:v>23.97</c:v>
                </c:pt>
                <c:pt idx="378">
                  <c:v>22.87</c:v>
                </c:pt>
                <c:pt idx="379">
                  <c:v>23.61</c:v>
                </c:pt>
                <c:pt idx="380">
                  <c:v>23.79</c:v>
                </c:pt>
                <c:pt idx="381">
                  <c:v>22.53</c:v>
                </c:pt>
                <c:pt idx="382">
                  <c:v>20.96</c:v>
                </c:pt>
                <c:pt idx="383">
                  <c:v>20.85</c:v>
                </c:pt>
                <c:pt idx="384">
                  <c:v>20.74</c:v>
                </c:pt>
                <c:pt idx="385">
                  <c:v>23.59</c:v>
                </c:pt>
                <c:pt idx="386">
                  <c:v>22.47</c:v>
                </c:pt>
                <c:pt idx="387">
                  <c:v>22.56</c:v>
                </c:pt>
                <c:pt idx="388">
                  <c:v>23.27</c:v>
                </c:pt>
                <c:pt idx="389">
                  <c:v>24.52</c:v>
                </c:pt>
                <c:pt idx="390">
                  <c:v>22.64</c:v>
                </c:pt>
                <c:pt idx="391">
                  <c:v>21.68</c:v>
                </c:pt>
                <c:pt idx="392">
                  <c:v>20.58</c:v>
                </c:pt>
                <c:pt idx="393">
                  <c:v>18.47</c:v>
                </c:pt>
                <c:pt idx="394">
                  <c:v>18.600000000000001</c:v>
                </c:pt>
                <c:pt idx="395">
                  <c:v>18.66</c:v>
                </c:pt>
                <c:pt idx="396">
                  <c:v>20.260000000000002</c:v>
                </c:pt>
                <c:pt idx="397">
                  <c:v>20.74</c:v>
                </c:pt>
                <c:pt idx="398">
                  <c:v>22.5</c:v>
                </c:pt>
                <c:pt idx="399">
                  <c:v>23.17</c:v>
                </c:pt>
                <c:pt idx="400">
                  <c:v>22.49</c:v>
                </c:pt>
                <c:pt idx="401">
                  <c:v>23.94</c:v>
                </c:pt>
                <c:pt idx="402">
                  <c:v>23.79</c:v>
                </c:pt>
                <c:pt idx="403">
                  <c:v>25.43</c:v>
                </c:pt>
                <c:pt idx="404">
                  <c:v>24.12</c:v>
                </c:pt>
                <c:pt idx="405">
                  <c:v>23.45</c:v>
                </c:pt>
                <c:pt idx="406">
                  <c:v>23.68</c:v>
                </c:pt>
                <c:pt idx="407">
                  <c:v>22.9</c:v>
                </c:pt>
                <c:pt idx="408">
                  <c:v>23.34</c:v>
                </c:pt>
                <c:pt idx="409">
                  <c:v>24.38</c:v>
                </c:pt>
                <c:pt idx="410">
                  <c:v>28.46</c:v>
                </c:pt>
                <c:pt idx="411">
                  <c:v>27.18</c:v>
                </c:pt>
                <c:pt idx="412">
                  <c:v>31.01</c:v>
                </c:pt>
                <c:pt idx="413">
                  <c:v>29.02</c:v>
                </c:pt>
                <c:pt idx="414">
                  <c:v>27.78</c:v>
                </c:pt>
                <c:pt idx="415">
                  <c:v>29.08</c:v>
                </c:pt>
                <c:pt idx="416">
                  <c:v>27.78</c:v>
                </c:pt>
                <c:pt idx="417">
                  <c:v>27.32</c:v>
                </c:pt>
                <c:pt idx="418">
                  <c:v>27.62</c:v>
                </c:pt>
                <c:pt idx="419">
                  <c:v>26.2</c:v>
                </c:pt>
                <c:pt idx="420">
                  <c:v>24.02</c:v>
                </c:pt>
                <c:pt idx="421">
                  <c:v>25.99</c:v>
                </c:pt>
                <c:pt idx="422">
                  <c:v>28.24</c:v>
                </c:pt>
                <c:pt idx="423">
                  <c:v>28.97</c:v>
                </c:pt>
                <c:pt idx="424">
                  <c:v>27.66</c:v>
                </c:pt>
                <c:pt idx="425">
                  <c:v>28.01</c:v>
                </c:pt>
                <c:pt idx="426">
                  <c:v>27.6</c:v>
                </c:pt>
                <c:pt idx="427">
                  <c:v>26.33</c:v>
                </c:pt>
                <c:pt idx="428">
                  <c:v>24.88</c:v>
                </c:pt>
                <c:pt idx="429">
                  <c:v>25.54</c:v>
                </c:pt>
                <c:pt idx="430">
                  <c:v>25.02</c:v>
                </c:pt>
                <c:pt idx="431">
                  <c:v>25.59</c:v>
                </c:pt>
                <c:pt idx="432">
                  <c:v>24.4</c:v>
                </c:pt>
                <c:pt idx="433">
                  <c:v>25.12</c:v>
                </c:pt>
                <c:pt idx="434">
                  <c:v>24.06</c:v>
                </c:pt>
                <c:pt idx="435">
                  <c:v>23.03</c:v>
                </c:pt>
                <c:pt idx="436">
                  <c:v>21.9</c:v>
                </c:pt>
                <c:pt idx="437">
                  <c:v>22.69</c:v>
                </c:pt>
                <c:pt idx="438">
                  <c:v>23.53</c:v>
                </c:pt>
                <c:pt idx="439">
                  <c:v>26.54</c:v>
                </c:pt>
                <c:pt idx="440">
                  <c:v>26.28</c:v>
                </c:pt>
                <c:pt idx="441">
                  <c:v>25.52</c:v>
                </c:pt>
                <c:pt idx="442">
                  <c:v>24.6</c:v>
                </c:pt>
                <c:pt idx="443">
                  <c:v>27.55</c:v>
                </c:pt>
                <c:pt idx="444">
                  <c:v>27.49</c:v>
                </c:pt>
                <c:pt idx="445">
                  <c:v>29.38</c:v>
                </c:pt>
                <c:pt idx="446">
                  <c:v>26.36</c:v>
                </c:pt>
                <c:pt idx="447">
                  <c:v>27.22</c:v>
                </c:pt>
                <c:pt idx="448">
                  <c:v>27.29</c:v>
                </c:pt>
                <c:pt idx="449">
                  <c:v>31.16</c:v>
                </c:pt>
                <c:pt idx="450">
                  <c:v>32.24</c:v>
                </c:pt>
                <c:pt idx="451">
                  <c:v>25.79</c:v>
                </c:pt>
                <c:pt idx="452">
                  <c:v>29.84</c:v>
                </c:pt>
                <c:pt idx="453">
                  <c:v>26.62</c:v>
                </c:pt>
                <c:pt idx="454">
                  <c:v>25.73</c:v>
                </c:pt>
                <c:pt idx="455">
                  <c:v>25.72</c:v>
                </c:pt>
                <c:pt idx="456">
                  <c:v>26.08</c:v>
                </c:pt>
                <c:pt idx="457">
                  <c:v>25.88</c:v>
                </c:pt>
                <c:pt idx="458">
                  <c:v>25.71</c:v>
                </c:pt>
                <c:pt idx="459">
                  <c:v>25.61</c:v>
                </c:pt>
                <c:pt idx="460">
                  <c:v>22.68</c:v>
                </c:pt>
                <c:pt idx="461">
                  <c:v>23.43</c:v>
                </c:pt>
                <c:pt idx="462">
                  <c:v>23.21</c:v>
                </c:pt>
                <c:pt idx="463">
                  <c:v>22.45</c:v>
                </c:pt>
                <c:pt idx="464">
                  <c:v>22.42</c:v>
                </c:pt>
                <c:pt idx="465">
                  <c:v>22.36</c:v>
                </c:pt>
                <c:pt idx="466">
                  <c:v>22.81</c:v>
                </c:pt>
                <c:pt idx="467">
                  <c:v>21.98</c:v>
                </c:pt>
                <c:pt idx="468">
                  <c:v>23.46</c:v>
                </c:pt>
                <c:pt idx="469">
                  <c:v>23.82</c:v>
                </c:pt>
                <c:pt idx="470">
                  <c:v>22.78</c:v>
                </c:pt>
                <c:pt idx="471">
                  <c:v>20.53</c:v>
                </c:pt>
                <c:pt idx="472">
                  <c:v>20.37</c:v>
                </c:pt>
                <c:pt idx="473">
                  <c:v>20.13</c:v>
                </c:pt>
                <c:pt idx="474">
                  <c:v>20.5</c:v>
                </c:pt>
                <c:pt idx="475">
                  <c:v>20.87</c:v>
                </c:pt>
                <c:pt idx="476">
                  <c:v>20.260000000000002</c:v>
                </c:pt>
                <c:pt idx="477">
                  <c:v>20.059999999999999</c:v>
                </c:pt>
                <c:pt idx="478">
                  <c:v>19.59</c:v>
                </c:pt>
                <c:pt idx="479">
                  <c:v>19.64</c:v>
                </c:pt>
                <c:pt idx="480">
                  <c:v>20.239999999999998</c:v>
                </c:pt>
                <c:pt idx="481">
                  <c:v>20.79</c:v>
                </c:pt>
                <c:pt idx="482">
                  <c:v>18.88</c:v>
                </c:pt>
                <c:pt idx="483">
                  <c:v>18.18</c:v>
                </c:pt>
                <c:pt idx="484">
                  <c:v>18.899999999999999</c:v>
                </c:pt>
                <c:pt idx="485">
                  <c:v>18.21</c:v>
                </c:pt>
                <c:pt idx="486">
                  <c:v>19.73</c:v>
                </c:pt>
                <c:pt idx="487">
                  <c:v>19.399999999999999</c:v>
                </c:pt>
                <c:pt idx="488">
                  <c:v>19.41</c:v>
                </c:pt>
                <c:pt idx="489">
                  <c:v>17.79</c:v>
                </c:pt>
                <c:pt idx="490">
                  <c:v>17.98</c:v>
                </c:pt>
                <c:pt idx="491">
                  <c:v>17.66</c:v>
                </c:pt>
                <c:pt idx="492">
                  <c:v>16.3</c:v>
                </c:pt>
                <c:pt idx="493">
                  <c:v>16.47</c:v>
                </c:pt>
                <c:pt idx="494">
                  <c:v>17.010000000000002</c:v>
                </c:pt>
                <c:pt idx="495">
                  <c:v>17.579999999999998</c:v>
                </c:pt>
                <c:pt idx="496">
                  <c:v>18.59</c:v>
                </c:pt>
                <c:pt idx="497">
                  <c:v>18.05</c:v>
                </c:pt>
                <c:pt idx="498">
                  <c:v>19.55</c:v>
                </c:pt>
                <c:pt idx="499">
                  <c:v>19.64</c:v>
                </c:pt>
                <c:pt idx="500">
                  <c:v>19.07</c:v>
                </c:pt>
                <c:pt idx="501">
                  <c:v>18.14</c:v>
                </c:pt>
                <c:pt idx="502">
                  <c:v>17.829999999999998</c:v>
                </c:pt>
                <c:pt idx="503">
                  <c:v>19.829999999999998</c:v>
                </c:pt>
                <c:pt idx="504">
                  <c:v>20.239999999999998</c:v>
                </c:pt>
                <c:pt idx="505">
                  <c:v>20.8</c:v>
                </c:pt>
                <c:pt idx="506">
                  <c:v>18.63</c:v>
                </c:pt>
                <c:pt idx="507">
                  <c:v>23.56</c:v>
                </c:pt>
                <c:pt idx="508">
                  <c:v>23.12</c:v>
                </c:pt>
                <c:pt idx="509">
                  <c:v>23.18</c:v>
                </c:pt>
                <c:pt idx="510">
                  <c:v>24.12</c:v>
                </c:pt>
                <c:pt idx="511">
                  <c:v>23.33</c:v>
                </c:pt>
                <c:pt idx="512">
                  <c:v>21.22</c:v>
                </c:pt>
                <c:pt idx="513">
                  <c:v>20.95</c:v>
                </c:pt>
                <c:pt idx="514">
                  <c:v>21.13</c:v>
                </c:pt>
                <c:pt idx="515">
                  <c:v>22.24</c:v>
                </c:pt>
                <c:pt idx="516">
                  <c:v>21.58</c:v>
                </c:pt>
                <c:pt idx="517">
                  <c:v>22.87</c:v>
                </c:pt>
                <c:pt idx="518">
                  <c:v>22.64</c:v>
                </c:pt>
                <c:pt idx="519">
                  <c:v>22.42</c:v>
                </c:pt>
                <c:pt idx="520">
                  <c:v>21.14</c:v>
                </c:pt>
                <c:pt idx="521">
                  <c:v>23.93</c:v>
                </c:pt>
                <c:pt idx="522">
                  <c:v>23.44</c:v>
                </c:pt>
                <c:pt idx="523">
                  <c:v>23.95</c:v>
                </c:pt>
                <c:pt idx="524">
                  <c:v>23.65</c:v>
                </c:pt>
                <c:pt idx="525">
                  <c:v>25.92</c:v>
                </c:pt>
                <c:pt idx="526">
                  <c:v>24.78</c:v>
                </c:pt>
                <c:pt idx="527">
                  <c:v>25.78</c:v>
                </c:pt>
                <c:pt idx="528">
                  <c:v>23.15</c:v>
                </c:pt>
                <c:pt idx="529">
                  <c:v>25.23</c:v>
                </c:pt>
                <c:pt idx="530">
                  <c:v>25.59</c:v>
                </c:pt>
                <c:pt idx="531">
                  <c:v>27.49</c:v>
                </c:pt>
                <c:pt idx="532">
                  <c:v>28.48</c:v>
                </c:pt>
                <c:pt idx="533">
                  <c:v>28.54</c:v>
                </c:pt>
                <c:pt idx="534">
                  <c:v>25.1</c:v>
                </c:pt>
                <c:pt idx="535">
                  <c:v>25.01</c:v>
                </c:pt>
                <c:pt idx="536">
                  <c:v>24.05</c:v>
                </c:pt>
                <c:pt idx="537">
                  <c:v>23.05</c:v>
                </c:pt>
                <c:pt idx="538">
                  <c:v>21.18</c:v>
                </c:pt>
                <c:pt idx="539">
                  <c:v>21.31</c:v>
                </c:pt>
                <c:pt idx="540">
                  <c:v>23.44</c:v>
                </c:pt>
                <c:pt idx="541">
                  <c:v>22.91</c:v>
                </c:pt>
                <c:pt idx="542">
                  <c:v>24.23</c:v>
                </c:pt>
                <c:pt idx="543">
                  <c:v>22.03</c:v>
                </c:pt>
                <c:pt idx="544">
                  <c:v>21.21</c:v>
                </c:pt>
                <c:pt idx="545">
                  <c:v>22.94</c:v>
                </c:pt>
                <c:pt idx="546">
                  <c:v>22.57</c:v>
                </c:pt>
                <c:pt idx="547">
                  <c:v>23.49</c:v>
                </c:pt>
                <c:pt idx="548">
                  <c:v>21.14</c:v>
                </c:pt>
                <c:pt idx="549">
                  <c:v>20.23</c:v>
                </c:pt>
                <c:pt idx="550">
                  <c:v>21.15</c:v>
                </c:pt>
                <c:pt idx="551">
                  <c:v>20.66</c:v>
                </c:pt>
                <c:pt idx="552">
                  <c:v>20.12</c:v>
                </c:pt>
                <c:pt idx="553">
                  <c:v>21.17</c:v>
                </c:pt>
                <c:pt idx="554">
                  <c:v>21.55</c:v>
                </c:pt>
                <c:pt idx="555">
                  <c:v>20.34</c:v>
                </c:pt>
                <c:pt idx="556">
                  <c:v>19.579999999999998</c:v>
                </c:pt>
                <c:pt idx="557">
                  <c:v>20.98</c:v>
                </c:pt>
                <c:pt idx="558">
                  <c:v>21.28</c:v>
                </c:pt>
                <c:pt idx="559">
                  <c:v>20.420000000000002</c:v>
                </c:pt>
                <c:pt idx="560">
                  <c:v>19.82</c:v>
                </c:pt>
                <c:pt idx="561">
                  <c:v>18.809999999999999</c:v>
                </c:pt>
                <c:pt idx="562">
                  <c:v>20.97</c:v>
                </c:pt>
                <c:pt idx="563">
                  <c:v>20.49</c:v>
                </c:pt>
                <c:pt idx="564">
                  <c:v>19.760000000000002</c:v>
                </c:pt>
                <c:pt idx="565">
                  <c:v>19.43</c:v>
                </c:pt>
                <c:pt idx="566">
                  <c:v>20.65</c:v>
                </c:pt>
                <c:pt idx="567">
                  <c:v>21.99</c:v>
                </c:pt>
                <c:pt idx="568">
                  <c:v>21.43</c:v>
                </c:pt>
                <c:pt idx="569">
                  <c:v>24.03</c:v>
                </c:pt>
                <c:pt idx="570">
                  <c:v>23.06</c:v>
                </c:pt>
                <c:pt idx="571">
                  <c:v>22.64</c:v>
                </c:pt>
                <c:pt idx="572">
                  <c:v>25.47</c:v>
                </c:pt>
                <c:pt idx="573">
                  <c:v>24.52</c:v>
                </c:pt>
                <c:pt idx="574">
                  <c:v>24.39</c:v>
                </c:pt>
                <c:pt idx="575">
                  <c:v>25.66</c:v>
                </c:pt>
                <c:pt idx="576">
                  <c:v>31.7</c:v>
                </c:pt>
                <c:pt idx="577">
                  <c:v>30.3</c:v>
                </c:pt>
                <c:pt idx="578">
                  <c:v>36.22</c:v>
                </c:pt>
                <c:pt idx="579">
                  <c:v>33.1</c:v>
                </c:pt>
                <c:pt idx="580">
                  <c:v>32.07</c:v>
                </c:pt>
                <c:pt idx="581">
                  <c:v>33.85</c:v>
                </c:pt>
                <c:pt idx="582">
                  <c:v>35.72</c:v>
                </c:pt>
                <c:pt idx="583">
                  <c:v>35.19</c:v>
                </c:pt>
                <c:pt idx="584">
                  <c:v>32.82</c:v>
                </c:pt>
                <c:pt idx="585">
                  <c:v>34.74</c:v>
                </c:pt>
                <c:pt idx="586">
                  <c:v>46.72</c:v>
                </c:pt>
                <c:pt idx="587">
                  <c:v>39.39</c:v>
                </c:pt>
                <c:pt idx="588">
                  <c:v>39.81</c:v>
                </c:pt>
                <c:pt idx="589">
                  <c:v>45.26</c:v>
                </c:pt>
                <c:pt idx="590">
                  <c:v>45.14</c:v>
                </c:pt>
                <c:pt idx="591">
                  <c:v>52.05</c:v>
                </c:pt>
                <c:pt idx="592">
                  <c:v>53.68</c:v>
                </c:pt>
                <c:pt idx="593">
                  <c:v>57.53</c:v>
                </c:pt>
                <c:pt idx="594">
                  <c:v>63.92</c:v>
                </c:pt>
                <c:pt idx="595">
                  <c:v>69.95</c:v>
                </c:pt>
                <c:pt idx="596">
                  <c:v>54.99</c:v>
                </c:pt>
                <c:pt idx="597">
                  <c:v>55.13</c:v>
                </c:pt>
                <c:pt idx="598">
                  <c:v>69.25</c:v>
                </c:pt>
                <c:pt idx="599">
                  <c:v>67.61</c:v>
                </c:pt>
                <c:pt idx="600">
                  <c:v>70.33</c:v>
                </c:pt>
                <c:pt idx="601">
                  <c:v>52.97</c:v>
                </c:pt>
                <c:pt idx="602">
                  <c:v>53.11</c:v>
                </c:pt>
                <c:pt idx="603">
                  <c:v>69.650000000000006</c:v>
                </c:pt>
                <c:pt idx="604">
                  <c:v>67.8</c:v>
                </c:pt>
                <c:pt idx="605">
                  <c:v>79.13</c:v>
                </c:pt>
                <c:pt idx="606">
                  <c:v>80.06</c:v>
                </c:pt>
                <c:pt idx="607">
                  <c:v>66.959999999999994</c:v>
                </c:pt>
                <c:pt idx="608">
                  <c:v>69.959999999999994</c:v>
                </c:pt>
                <c:pt idx="609">
                  <c:v>62.9</c:v>
                </c:pt>
                <c:pt idx="610">
                  <c:v>59.89</c:v>
                </c:pt>
                <c:pt idx="611">
                  <c:v>53.68</c:v>
                </c:pt>
                <c:pt idx="612">
                  <c:v>47.73</c:v>
                </c:pt>
                <c:pt idx="613">
                  <c:v>54.56</c:v>
                </c:pt>
                <c:pt idx="614">
                  <c:v>63.68</c:v>
                </c:pt>
                <c:pt idx="615">
                  <c:v>56.1</c:v>
                </c:pt>
                <c:pt idx="616">
                  <c:v>59.98</c:v>
                </c:pt>
                <c:pt idx="617">
                  <c:v>61.44</c:v>
                </c:pt>
                <c:pt idx="618">
                  <c:v>66.459999999999994</c:v>
                </c:pt>
                <c:pt idx="619">
                  <c:v>59.83</c:v>
                </c:pt>
                <c:pt idx="620">
                  <c:v>66.31</c:v>
                </c:pt>
                <c:pt idx="621">
                  <c:v>69.150000000000006</c:v>
                </c:pt>
                <c:pt idx="622">
                  <c:v>67.64</c:v>
                </c:pt>
                <c:pt idx="623">
                  <c:v>74.260000000000005</c:v>
                </c:pt>
                <c:pt idx="624">
                  <c:v>80.86</c:v>
                </c:pt>
                <c:pt idx="625">
                  <c:v>72.67</c:v>
                </c:pt>
                <c:pt idx="626">
                  <c:v>64.7</c:v>
                </c:pt>
                <c:pt idx="627">
                  <c:v>60.9</c:v>
                </c:pt>
                <c:pt idx="628">
                  <c:v>54.92</c:v>
                </c:pt>
                <c:pt idx="629">
                  <c:v>55.28</c:v>
                </c:pt>
                <c:pt idx="630">
                  <c:v>68.510000000000005</c:v>
                </c:pt>
                <c:pt idx="631">
                  <c:v>62.98</c:v>
                </c:pt>
                <c:pt idx="632">
                  <c:v>60.72</c:v>
                </c:pt>
                <c:pt idx="633">
                  <c:v>63.64</c:v>
                </c:pt>
                <c:pt idx="634">
                  <c:v>59.93</c:v>
                </c:pt>
                <c:pt idx="635">
                  <c:v>58.49</c:v>
                </c:pt>
                <c:pt idx="636">
                  <c:v>58.91</c:v>
                </c:pt>
                <c:pt idx="637">
                  <c:v>55.73</c:v>
                </c:pt>
                <c:pt idx="638">
                  <c:v>55.78</c:v>
                </c:pt>
                <c:pt idx="639">
                  <c:v>54.28</c:v>
                </c:pt>
                <c:pt idx="640">
                  <c:v>56.76</c:v>
                </c:pt>
                <c:pt idx="641">
                  <c:v>52.37</c:v>
                </c:pt>
                <c:pt idx="642">
                  <c:v>49.84</c:v>
                </c:pt>
                <c:pt idx="643">
                  <c:v>47.34</c:v>
                </c:pt>
                <c:pt idx="644">
                  <c:v>44.93</c:v>
                </c:pt>
                <c:pt idx="645">
                  <c:v>44.56</c:v>
                </c:pt>
                <c:pt idx="646">
                  <c:v>45.02</c:v>
                </c:pt>
                <c:pt idx="647">
                  <c:v>44.21</c:v>
                </c:pt>
                <c:pt idx="648">
                  <c:v>43.38</c:v>
                </c:pt>
                <c:pt idx="649">
                  <c:v>43.9</c:v>
                </c:pt>
                <c:pt idx="650">
                  <c:v>41.63</c:v>
                </c:pt>
                <c:pt idx="651">
                  <c:v>40</c:v>
                </c:pt>
                <c:pt idx="652">
                  <c:v>39.19</c:v>
                </c:pt>
                <c:pt idx="653">
                  <c:v>39.08</c:v>
                </c:pt>
                <c:pt idx="654">
                  <c:v>38.56</c:v>
                </c:pt>
                <c:pt idx="655">
                  <c:v>43.39</c:v>
                </c:pt>
                <c:pt idx="656">
                  <c:v>42.56</c:v>
                </c:pt>
                <c:pt idx="657">
                  <c:v>42.82</c:v>
                </c:pt>
                <c:pt idx="658">
                  <c:v>45.84</c:v>
                </c:pt>
                <c:pt idx="659">
                  <c:v>43.27</c:v>
                </c:pt>
                <c:pt idx="660">
                  <c:v>49.14</c:v>
                </c:pt>
                <c:pt idx="661">
                  <c:v>51</c:v>
                </c:pt>
                <c:pt idx="662">
                  <c:v>46.11</c:v>
                </c:pt>
                <c:pt idx="663">
                  <c:v>56.65</c:v>
                </c:pt>
                <c:pt idx="664">
                  <c:v>46.42</c:v>
                </c:pt>
                <c:pt idx="665">
                  <c:v>47.29</c:v>
                </c:pt>
                <c:pt idx="666">
                  <c:v>47.27</c:v>
                </c:pt>
                <c:pt idx="667">
                  <c:v>45.69</c:v>
                </c:pt>
                <c:pt idx="668">
                  <c:v>42.25</c:v>
                </c:pt>
                <c:pt idx="669">
                  <c:v>39.659999999999997</c:v>
                </c:pt>
                <c:pt idx="670">
                  <c:v>42.63</c:v>
                </c:pt>
                <c:pt idx="671">
                  <c:v>44.84</c:v>
                </c:pt>
                <c:pt idx="672">
                  <c:v>45.52</c:v>
                </c:pt>
                <c:pt idx="673">
                  <c:v>43.06</c:v>
                </c:pt>
                <c:pt idx="674">
                  <c:v>43.85</c:v>
                </c:pt>
                <c:pt idx="675">
                  <c:v>43.73</c:v>
                </c:pt>
                <c:pt idx="676">
                  <c:v>43.37</c:v>
                </c:pt>
                <c:pt idx="677">
                  <c:v>43.64</c:v>
                </c:pt>
                <c:pt idx="678">
                  <c:v>46.67</c:v>
                </c:pt>
                <c:pt idx="679">
                  <c:v>44.53</c:v>
                </c:pt>
                <c:pt idx="680">
                  <c:v>41.25</c:v>
                </c:pt>
                <c:pt idx="681">
                  <c:v>42.93</c:v>
                </c:pt>
                <c:pt idx="682">
                  <c:v>48.66</c:v>
                </c:pt>
                <c:pt idx="683">
                  <c:v>48.46</c:v>
                </c:pt>
                <c:pt idx="684">
                  <c:v>47.08</c:v>
                </c:pt>
                <c:pt idx="685">
                  <c:v>49.3</c:v>
                </c:pt>
                <c:pt idx="686">
                  <c:v>52.62</c:v>
                </c:pt>
                <c:pt idx="687">
                  <c:v>45.49</c:v>
                </c:pt>
                <c:pt idx="688">
                  <c:v>44.67</c:v>
                </c:pt>
                <c:pt idx="689">
                  <c:v>44.66</c:v>
                </c:pt>
                <c:pt idx="690">
                  <c:v>46.35</c:v>
                </c:pt>
                <c:pt idx="691">
                  <c:v>52.65</c:v>
                </c:pt>
                <c:pt idx="692">
                  <c:v>50.93</c:v>
                </c:pt>
                <c:pt idx="693">
                  <c:v>47.56</c:v>
                </c:pt>
                <c:pt idx="694">
                  <c:v>50.17</c:v>
                </c:pt>
                <c:pt idx="695">
                  <c:v>49.33</c:v>
                </c:pt>
                <c:pt idx="696">
                  <c:v>49.68</c:v>
                </c:pt>
                <c:pt idx="697">
                  <c:v>44.37</c:v>
                </c:pt>
                <c:pt idx="698">
                  <c:v>43.61</c:v>
                </c:pt>
                <c:pt idx="699">
                  <c:v>41.18</c:v>
                </c:pt>
                <c:pt idx="700">
                  <c:v>42.36</c:v>
                </c:pt>
                <c:pt idx="701">
                  <c:v>43.74</c:v>
                </c:pt>
                <c:pt idx="702">
                  <c:v>40.799999999999997</c:v>
                </c:pt>
                <c:pt idx="703">
                  <c:v>40.06</c:v>
                </c:pt>
                <c:pt idx="704">
                  <c:v>43.68</c:v>
                </c:pt>
                <c:pt idx="705">
                  <c:v>45.89</c:v>
                </c:pt>
                <c:pt idx="706">
                  <c:v>43.23</c:v>
                </c:pt>
                <c:pt idx="707">
                  <c:v>42.93</c:v>
                </c:pt>
                <c:pt idx="708">
                  <c:v>42.25</c:v>
                </c:pt>
                <c:pt idx="709">
                  <c:v>40.36</c:v>
                </c:pt>
                <c:pt idx="710">
                  <c:v>41.04</c:v>
                </c:pt>
                <c:pt idx="711">
                  <c:v>45.54</c:v>
                </c:pt>
                <c:pt idx="712">
                  <c:v>44.14</c:v>
                </c:pt>
                <c:pt idx="713">
                  <c:v>42.28</c:v>
                </c:pt>
                <c:pt idx="714">
                  <c:v>42.04</c:v>
                </c:pt>
                <c:pt idx="715">
                  <c:v>39.700000000000003</c:v>
                </c:pt>
                <c:pt idx="716">
                  <c:v>40.93</c:v>
                </c:pt>
                <c:pt idx="717">
                  <c:v>40.39</c:v>
                </c:pt>
                <c:pt idx="718">
                  <c:v>38.85</c:v>
                </c:pt>
                <c:pt idx="719">
                  <c:v>36.53</c:v>
                </c:pt>
                <c:pt idx="720">
                  <c:v>37.81</c:v>
                </c:pt>
                <c:pt idx="721">
                  <c:v>37.67</c:v>
                </c:pt>
                <c:pt idx="722">
                  <c:v>36.17</c:v>
                </c:pt>
                <c:pt idx="723">
                  <c:v>35.79</c:v>
                </c:pt>
                <c:pt idx="724">
                  <c:v>33.94</c:v>
                </c:pt>
                <c:pt idx="725">
                  <c:v>39.18</c:v>
                </c:pt>
                <c:pt idx="726">
                  <c:v>37.14</c:v>
                </c:pt>
                <c:pt idx="727">
                  <c:v>38.1</c:v>
                </c:pt>
                <c:pt idx="728">
                  <c:v>37.15</c:v>
                </c:pt>
                <c:pt idx="729">
                  <c:v>36.82</c:v>
                </c:pt>
                <c:pt idx="730">
                  <c:v>38.32</c:v>
                </c:pt>
                <c:pt idx="731">
                  <c:v>37.950000000000003</c:v>
                </c:pt>
                <c:pt idx="732">
                  <c:v>36.08</c:v>
                </c:pt>
                <c:pt idx="733">
                  <c:v>36.5</c:v>
                </c:pt>
                <c:pt idx="734">
                  <c:v>35.299999999999997</c:v>
                </c:pt>
                <c:pt idx="735">
                  <c:v>34.53</c:v>
                </c:pt>
                <c:pt idx="736">
                  <c:v>33.36</c:v>
                </c:pt>
                <c:pt idx="737">
                  <c:v>32.450000000000003</c:v>
                </c:pt>
                <c:pt idx="738">
                  <c:v>33.44</c:v>
                </c:pt>
                <c:pt idx="739">
                  <c:v>32.049999999999997</c:v>
                </c:pt>
                <c:pt idx="740">
                  <c:v>32.869999999999997</c:v>
                </c:pt>
                <c:pt idx="741">
                  <c:v>31.8</c:v>
                </c:pt>
                <c:pt idx="742">
                  <c:v>33.65</c:v>
                </c:pt>
                <c:pt idx="743">
                  <c:v>31.37</c:v>
                </c:pt>
                <c:pt idx="744">
                  <c:v>33.119999999999997</c:v>
                </c:pt>
                <c:pt idx="745">
                  <c:v>30.24</c:v>
                </c:pt>
                <c:pt idx="746">
                  <c:v>28.8</c:v>
                </c:pt>
                <c:pt idx="747">
                  <c:v>29.03</c:v>
                </c:pt>
                <c:pt idx="748">
                  <c:v>31.35</c:v>
                </c:pt>
                <c:pt idx="749">
                  <c:v>32.630000000000003</c:v>
                </c:pt>
                <c:pt idx="750">
                  <c:v>30.62</c:v>
                </c:pt>
                <c:pt idx="751">
                  <c:v>32.36</c:v>
                </c:pt>
                <c:pt idx="752">
                  <c:v>31.67</c:v>
                </c:pt>
                <c:pt idx="753">
                  <c:v>28.92</c:v>
                </c:pt>
                <c:pt idx="754">
                  <c:v>30.04</c:v>
                </c:pt>
                <c:pt idx="755">
                  <c:v>29.63</c:v>
                </c:pt>
                <c:pt idx="756">
                  <c:v>31.02</c:v>
                </c:pt>
                <c:pt idx="757">
                  <c:v>30.18</c:v>
                </c:pt>
                <c:pt idx="758">
                  <c:v>29.62</c:v>
                </c:pt>
                <c:pt idx="759">
                  <c:v>29.77</c:v>
                </c:pt>
                <c:pt idx="760">
                  <c:v>28.27</c:v>
                </c:pt>
                <c:pt idx="761">
                  <c:v>28.46</c:v>
                </c:pt>
                <c:pt idx="762">
                  <c:v>28.11</c:v>
                </c:pt>
                <c:pt idx="763">
                  <c:v>28.15</c:v>
                </c:pt>
                <c:pt idx="764">
                  <c:v>30.81</c:v>
                </c:pt>
                <c:pt idx="765">
                  <c:v>32.68</c:v>
                </c:pt>
                <c:pt idx="766">
                  <c:v>31.54</c:v>
                </c:pt>
                <c:pt idx="767">
                  <c:v>30.03</c:v>
                </c:pt>
                <c:pt idx="768">
                  <c:v>27.99</c:v>
                </c:pt>
                <c:pt idx="769">
                  <c:v>31.17</c:v>
                </c:pt>
                <c:pt idx="770">
                  <c:v>30.58</c:v>
                </c:pt>
                <c:pt idx="771">
                  <c:v>29.05</c:v>
                </c:pt>
                <c:pt idx="772">
                  <c:v>26.36</c:v>
                </c:pt>
                <c:pt idx="773">
                  <c:v>25.93</c:v>
                </c:pt>
                <c:pt idx="774">
                  <c:v>25.35</c:v>
                </c:pt>
                <c:pt idx="775">
                  <c:v>26.35</c:v>
                </c:pt>
                <c:pt idx="776">
                  <c:v>26.22</c:v>
                </c:pt>
                <c:pt idx="777">
                  <c:v>27.95</c:v>
                </c:pt>
                <c:pt idx="778">
                  <c:v>29</c:v>
                </c:pt>
                <c:pt idx="779">
                  <c:v>30.85</c:v>
                </c:pt>
                <c:pt idx="780">
                  <c:v>31.3</c:v>
                </c:pt>
                <c:pt idx="781">
                  <c:v>29.78</c:v>
                </c:pt>
                <c:pt idx="782">
                  <c:v>29.02</c:v>
                </c:pt>
                <c:pt idx="783">
                  <c:v>26.31</c:v>
                </c:pt>
                <c:pt idx="784">
                  <c:v>25.02</c:v>
                </c:pt>
                <c:pt idx="785">
                  <c:v>25.89</c:v>
                </c:pt>
                <c:pt idx="786">
                  <c:v>25.42</c:v>
                </c:pt>
                <c:pt idx="787">
                  <c:v>24.34</c:v>
                </c:pt>
                <c:pt idx="788">
                  <c:v>24.4</c:v>
                </c:pt>
                <c:pt idx="789">
                  <c:v>23.87</c:v>
                </c:pt>
                <c:pt idx="790">
                  <c:v>23.47</c:v>
                </c:pt>
                <c:pt idx="791">
                  <c:v>23.43</c:v>
                </c:pt>
                <c:pt idx="792">
                  <c:v>23.09</c:v>
                </c:pt>
                <c:pt idx="793">
                  <c:v>24.28</c:v>
                </c:pt>
                <c:pt idx="794">
                  <c:v>25.01</c:v>
                </c:pt>
                <c:pt idx="795">
                  <c:v>25.61</c:v>
                </c:pt>
                <c:pt idx="796">
                  <c:v>25.4</c:v>
                </c:pt>
                <c:pt idx="797">
                  <c:v>25.92</c:v>
                </c:pt>
                <c:pt idx="798">
                  <c:v>25.56</c:v>
                </c:pt>
                <c:pt idx="799">
                  <c:v>24.89</c:v>
                </c:pt>
                <c:pt idx="800">
                  <c:v>24.9</c:v>
                </c:pt>
                <c:pt idx="801">
                  <c:v>25.67</c:v>
                </c:pt>
                <c:pt idx="802">
                  <c:v>24.76</c:v>
                </c:pt>
                <c:pt idx="803">
                  <c:v>24.99</c:v>
                </c:pt>
                <c:pt idx="804">
                  <c:v>25.99</c:v>
                </c:pt>
                <c:pt idx="805">
                  <c:v>25.45</c:v>
                </c:pt>
                <c:pt idx="806">
                  <c:v>24.71</c:v>
                </c:pt>
                <c:pt idx="807">
                  <c:v>24.27</c:v>
                </c:pt>
                <c:pt idx="808">
                  <c:v>27.89</c:v>
                </c:pt>
                <c:pt idx="809">
                  <c:v>26.18</c:v>
                </c:pt>
                <c:pt idx="810">
                  <c:v>26.26</c:v>
                </c:pt>
                <c:pt idx="811">
                  <c:v>25.09</c:v>
                </c:pt>
                <c:pt idx="812">
                  <c:v>25.01</c:v>
                </c:pt>
                <c:pt idx="813">
                  <c:v>25.14</c:v>
                </c:pt>
                <c:pt idx="814">
                  <c:v>24.92</c:v>
                </c:pt>
                <c:pt idx="815">
                  <c:v>24.95</c:v>
                </c:pt>
                <c:pt idx="816">
                  <c:v>24.68</c:v>
                </c:pt>
                <c:pt idx="817">
                  <c:v>24.76</c:v>
                </c:pt>
                <c:pt idx="818">
                  <c:v>26.01</c:v>
                </c:pt>
                <c:pt idx="819">
                  <c:v>29.15</c:v>
                </c:pt>
                <c:pt idx="820">
                  <c:v>28.9</c:v>
                </c:pt>
                <c:pt idx="821">
                  <c:v>27.1</c:v>
                </c:pt>
                <c:pt idx="822">
                  <c:v>25.26</c:v>
                </c:pt>
                <c:pt idx="823">
                  <c:v>25.62</c:v>
                </c:pt>
                <c:pt idx="824">
                  <c:v>24.32</c:v>
                </c:pt>
                <c:pt idx="825">
                  <c:v>23.55</c:v>
                </c:pt>
                <c:pt idx="826">
                  <c:v>24.15</c:v>
                </c:pt>
                <c:pt idx="827">
                  <c:v>23.86</c:v>
                </c:pt>
                <c:pt idx="828">
                  <c:v>23.42</c:v>
                </c:pt>
                <c:pt idx="829">
                  <c:v>23.69</c:v>
                </c:pt>
                <c:pt idx="830">
                  <c:v>23.65</c:v>
                </c:pt>
                <c:pt idx="831">
                  <c:v>23.92</c:v>
                </c:pt>
                <c:pt idx="832">
                  <c:v>24.06</c:v>
                </c:pt>
                <c:pt idx="833">
                  <c:v>23.08</c:v>
                </c:pt>
                <c:pt idx="834">
                  <c:v>23.49</c:v>
                </c:pt>
                <c:pt idx="835">
                  <c:v>24.95</c:v>
                </c:pt>
                <c:pt idx="836">
                  <c:v>25.61</c:v>
                </c:pt>
                <c:pt idx="837">
                  <c:v>24.88</c:v>
                </c:pt>
                <c:pt idx="838">
                  <c:v>25.19</c:v>
                </c:pt>
                <c:pt idx="839">
                  <c:v>25.61</c:v>
                </c:pt>
                <c:pt idx="840">
                  <c:v>28.27</c:v>
                </c:pt>
                <c:pt idx="841">
                  <c:v>28.68</c:v>
                </c:pt>
                <c:pt idx="842">
                  <c:v>26.84</c:v>
                </c:pt>
                <c:pt idx="843">
                  <c:v>25.7</c:v>
                </c:pt>
                <c:pt idx="844">
                  <c:v>24.68</c:v>
                </c:pt>
                <c:pt idx="845">
                  <c:v>24.18</c:v>
                </c:pt>
                <c:pt idx="846">
                  <c:v>23.12</c:v>
                </c:pt>
                <c:pt idx="847">
                  <c:v>23.01</c:v>
                </c:pt>
                <c:pt idx="848">
                  <c:v>22.99</c:v>
                </c:pt>
                <c:pt idx="849">
                  <c:v>22.86</c:v>
                </c:pt>
                <c:pt idx="850">
                  <c:v>21.72</c:v>
                </c:pt>
                <c:pt idx="851">
                  <c:v>21.43</c:v>
                </c:pt>
                <c:pt idx="852">
                  <c:v>21.49</c:v>
                </c:pt>
                <c:pt idx="853">
                  <c:v>20.9</c:v>
                </c:pt>
                <c:pt idx="854">
                  <c:v>22.22</c:v>
                </c:pt>
                <c:pt idx="855">
                  <c:v>20.69</c:v>
                </c:pt>
                <c:pt idx="856">
                  <c:v>22.27</c:v>
                </c:pt>
                <c:pt idx="857">
                  <c:v>24.31</c:v>
                </c:pt>
                <c:pt idx="858">
                  <c:v>24.83</c:v>
                </c:pt>
                <c:pt idx="859">
                  <c:v>27.91</c:v>
                </c:pt>
                <c:pt idx="860">
                  <c:v>24.76</c:v>
                </c:pt>
                <c:pt idx="861">
                  <c:v>30.69</c:v>
                </c:pt>
                <c:pt idx="862">
                  <c:v>29.78</c:v>
                </c:pt>
                <c:pt idx="863">
                  <c:v>28.81</c:v>
                </c:pt>
                <c:pt idx="864">
                  <c:v>27.72</c:v>
                </c:pt>
                <c:pt idx="865">
                  <c:v>25.43</c:v>
                </c:pt>
                <c:pt idx="866">
                  <c:v>24.19</c:v>
                </c:pt>
                <c:pt idx="867">
                  <c:v>23.15</c:v>
                </c:pt>
                <c:pt idx="868">
                  <c:v>22.84</c:v>
                </c:pt>
                <c:pt idx="869">
                  <c:v>23.04</c:v>
                </c:pt>
                <c:pt idx="870">
                  <c:v>24.24</c:v>
                </c:pt>
                <c:pt idx="871">
                  <c:v>23.36</c:v>
                </c:pt>
                <c:pt idx="872">
                  <c:v>22.89</c:v>
                </c:pt>
                <c:pt idx="873">
                  <c:v>22.41</c:v>
                </c:pt>
                <c:pt idx="874">
                  <c:v>21.63</c:v>
                </c:pt>
                <c:pt idx="875">
                  <c:v>22.63</c:v>
                </c:pt>
                <c:pt idx="876">
                  <c:v>22.19</c:v>
                </c:pt>
                <c:pt idx="877">
                  <c:v>21.16</c:v>
                </c:pt>
                <c:pt idx="878">
                  <c:v>20.47</c:v>
                </c:pt>
                <c:pt idx="879">
                  <c:v>20.48</c:v>
                </c:pt>
                <c:pt idx="880">
                  <c:v>24.74</c:v>
                </c:pt>
                <c:pt idx="881">
                  <c:v>24.51</c:v>
                </c:pt>
                <c:pt idx="882">
                  <c:v>21.92</c:v>
                </c:pt>
                <c:pt idx="883">
                  <c:v>21.12</c:v>
                </c:pt>
                <c:pt idx="884">
                  <c:v>22.46</c:v>
                </c:pt>
                <c:pt idx="885">
                  <c:v>21.25</c:v>
                </c:pt>
                <c:pt idx="886">
                  <c:v>22.1</c:v>
                </c:pt>
                <c:pt idx="887">
                  <c:v>23.69</c:v>
                </c:pt>
                <c:pt idx="888">
                  <c:v>22.66</c:v>
                </c:pt>
                <c:pt idx="889">
                  <c:v>22.32</c:v>
                </c:pt>
                <c:pt idx="890">
                  <c:v>21.59</c:v>
                </c:pt>
                <c:pt idx="891">
                  <c:v>21.15</c:v>
                </c:pt>
                <c:pt idx="892">
                  <c:v>21.49</c:v>
                </c:pt>
                <c:pt idx="893">
                  <c:v>20.54</c:v>
                </c:pt>
                <c:pt idx="894">
                  <c:v>22.51</c:v>
                </c:pt>
                <c:pt idx="895">
                  <c:v>21.68</c:v>
                </c:pt>
                <c:pt idx="896">
                  <c:v>20.49</c:v>
                </c:pt>
                <c:pt idx="897">
                  <c:v>19.54</c:v>
                </c:pt>
                <c:pt idx="898">
                  <c:v>19.71</c:v>
                </c:pt>
                <c:pt idx="899">
                  <c:v>19.47</c:v>
                </c:pt>
                <c:pt idx="900">
                  <c:v>19.93</c:v>
                </c:pt>
                <c:pt idx="901">
                  <c:v>20.010000000000002</c:v>
                </c:pt>
                <c:pt idx="902">
                  <c:v>19.96</c:v>
                </c:pt>
                <c:pt idx="903">
                  <c:v>21.68</c:v>
                </c:pt>
                <c:pt idx="904">
                  <c:v>20.04</c:v>
                </c:pt>
                <c:pt idx="905">
                  <c:v>19.350000000000001</c:v>
                </c:pt>
                <c:pt idx="906">
                  <c:v>19.16</c:v>
                </c:pt>
                <c:pt idx="907">
                  <c:v>19.059999999999999</c:v>
                </c:pt>
                <c:pt idx="908">
                  <c:v>18.13</c:v>
                </c:pt>
                <c:pt idx="909">
                  <c:v>17.55</c:v>
                </c:pt>
                <c:pt idx="910">
                  <c:v>18.25</c:v>
                </c:pt>
                <c:pt idx="911">
                  <c:v>17.850000000000001</c:v>
                </c:pt>
                <c:pt idx="912">
                  <c:v>17.63</c:v>
                </c:pt>
                <c:pt idx="913">
                  <c:v>17.91</c:v>
                </c:pt>
                <c:pt idx="914">
                  <c:v>17.579999999999998</c:v>
                </c:pt>
                <c:pt idx="915">
                  <c:v>18.68</c:v>
                </c:pt>
                <c:pt idx="916">
                  <c:v>22.27</c:v>
                </c:pt>
                <c:pt idx="917">
                  <c:v>27.31</c:v>
                </c:pt>
                <c:pt idx="918">
                  <c:v>25.41</c:v>
                </c:pt>
                <c:pt idx="919">
                  <c:v>24.55</c:v>
                </c:pt>
                <c:pt idx="920">
                  <c:v>23.14</c:v>
                </c:pt>
                <c:pt idx="921">
                  <c:v>23.73</c:v>
                </c:pt>
                <c:pt idx="922">
                  <c:v>24.62</c:v>
                </c:pt>
                <c:pt idx="923">
                  <c:v>22.59</c:v>
                </c:pt>
                <c:pt idx="924">
                  <c:v>21.48</c:v>
                </c:pt>
                <c:pt idx="925">
                  <c:v>21.6</c:v>
                </c:pt>
                <c:pt idx="926">
                  <c:v>26.08</c:v>
                </c:pt>
                <c:pt idx="927">
                  <c:v>26.11</c:v>
                </c:pt>
                <c:pt idx="928">
                  <c:v>26.51</c:v>
                </c:pt>
                <c:pt idx="929">
                  <c:v>26</c:v>
                </c:pt>
                <c:pt idx="930">
                  <c:v>25.4</c:v>
                </c:pt>
                <c:pt idx="931">
                  <c:v>23.96</c:v>
                </c:pt>
                <c:pt idx="932">
                  <c:v>22.73</c:v>
                </c:pt>
                <c:pt idx="933">
                  <c:v>22.25</c:v>
                </c:pt>
                <c:pt idx="934">
                  <c:v>21.72</c:v>
                </c:pt>
                <c:pt idx="935">
                  <c:v>20.63</c:v>
                </c:pt>
                <c:pt idx="936">
                  <c:v>20.02</c:v>
                </c:pt>
                <c:pt idx="937">
                  <c:v>19.940000000000001</c:v>
                </c:pt>
                <c:pt idx="938">
                  <c:v>21.37</c:v>
                </c:pt>
                <c:pt idx="939">
                  <c:v>20.27</c:v>
                </c:pt>
                <c:pt idx="940">
                  <c:v>20.100000000000001</c:v>
                </c:pt>
                <c:pt idx="941">
                  <c:v>19.5</c:v>
                </c:pt>
                <c:pt idx="942">
                  <c:v>19.260000000000002</c:v>
                </c:pt>
                <c:pt idx="943">
                  <c:v>19.059999999999999</c:v>
                </c:pt>
                <c:pt idx="944">
                  <c:v>18.829999999999998</c:v>
                </c:pt>
                <c:pt idx="945">
                  <c:v>18.72</c:v>
                </c:pt>
                <c:pt idx="946">
                  <c:v>17.420000000000002</c:v>
                </c:pt>
                <c:pt idx="947">
                  <c:v>17.79</c:v>
                </c:pt>
                <c:pt idx="948">
                  <c:v>17.920000000000002</c:v>
                </c:pt>
                <c:pt idx="949">
                  <c:v>18.57</c:v>
                </c:pt>
                <c:pt idx="950">
                  <c:v>18.059999999999999</c:v>
                </c:pt>
                <c:pt idx="951">
                  <c:v>17.579999999999998</c:v>
                </c:pt>
                <c:pt idx="952">
                  <c:v>18</c:v>
                </c:pt>
                <c:pt idx="953">
                  <c:v>17.690000000000001</c:v>
                </c:pt>
                <c:pt idx="954">
                  <c:v>16.91</c:v>
                </c:pt>
                <c:pt idx="955">
                  <c:v>16.62</c:v>
                </c:pt>
                <c:pt idx="956">
                  <c:v>16.97</c:v>
                </c:pt>
                <c:pt idx="957">
                  <c:v>16.87</c:v>
                </c:pt>
                <c:pt idx="958">
                  <c:v>16.350000000000001</c:v>
                </c:pt>
                <c:pt idx="959">
                  <c:v>17.55</c:v>
                </c:pt>
                <c:pt idx="960">
                  <c:v>18.399999999999999</c:v>
                </c:pt>
                <c:pt idx="961">
                  <c:v>17.77</c:v>
                </c:pt>
                <c:pt idx="962">
                  <c:v>17.59</c:v>
                </c:pt>
                <c:pt idx="963">
                  <c:v>17.13</c:v>
                </c:pt>
                <c:pt idx="964">
                  <c:v>17.59</c:v>
                </c:pt>
                <c:pt idx="965">
                  <c:v>17.47</c:v>
                </c:pt>
                <c:pt idx="966">
                  <c:v>17.02</c:v>
                </c:pt>
                <c:pt idx="967">
                  <c:v>16.23</c:v>
                </c:pt>
                <c:pt idx="968">
                  <c:v>16.62</c:v>
                </c:pt>
                <c:pt idx="969">
                  <c:v>16.48</c:v>
                </c:pt>
                <c:pt idx="970">
                  <c:v>16.14</c:v>
                </c:pt>
                <c:pt idx="971">
                  <c:v>15.58</c:v>
                </c:pt>
                <c:pt idx="972">
                  <c:v>16.2</c:v>
                </c:pt>
                <c:pt idx="973">
                  <c:v>15.59</c:v>
                </c:pt>
                <c:pt idx="974">
                  <c:v>15.89</c:v>
                </c:pt>
                <c:pt idx="975">
                  <c:v>18.36</c:v>
                </c:pt>
                <c:pt idx="976">
                  <c:v>17.34</c:v>
                </c:pt>
                <c:pt idx="977">
                  <c:v>15.73</c:v>
                </c:pt>
                <c:pt idx="978">
                  <c:v>16.32</c:v>
                </c:pt>
                <c:pt idx="979">
                  <c:v>16.47</c:v>
                </c:pt>
                <c:pt idx="980">
                  <c:v>16.62</c:v>
                </c:pt>
                <c:pt idx="981">
                  <c:v>17.47</c:v>
                </c:pt>
                <c:pt idx="982">
                  <c:v>22.81</c:v>
                </c:pt>
                <c:pt idx="983">
                  <c:v>21.08</c:v>
                </c:pt>
                <c:pt idx="984">
                  <c:v>18.440000000000001</c:v>
                </c:pt>
                <c:pt idx="985">
                  <c:v>22.05</c:v>
                </c:pt>
                <c:pt idx="986">
                  <c:v>20.190000000000001</c:v>
                </c:pt>
                <c:pt idx="987">
                  <c:v>23.84</c:v>
                </c:pt>
                <c:pt idx="988">
                  <c:v>24.91</c:v>
                </c:pt>
                <c:pt idx="989">
                  <c:v>32.799999999999997</c:v>
                </c:pt>
                <c:pt idx="990">
                  <c:v>40.950000000000003</c:v>
                </c:pt>
                <c:pt idx="991">
                  <c:v>28.84</c:v>
                </c:pt>
                <c:pt idx="992">
                  <c:v>28.32</c:v>
                </c:pt>
                <c:pt idx="993">
                  <c:v>25.52</c:v>
                </c:pt>
                <c:pt idx="994">
                  <c:v>26.68</c:v>
                </c:pt>
                <c:pt idx="995">
                  <c:v>31.24</c:v>
                </c:pt>
                <c:pt idx="996">
                  <c:v>30.84</c:v>
                </c:pt>
                <c:pt idx="997">
                  <c:v>33.549999999999997</c:v>
                </c:pt>
                <c:pt idx="998">
                  <c:v>35.32</c:v>
                </c:pt>
                <c:pt idx="999">
                  <c:v>45.79</c:v>
                </c:pt>
                <c:pt idx="1000">
                  <c:v>40.1</c:v>
                </c:pt>
                <c:pt idx="1001">
                  <c:v>38.32</c:v>
                </c:pt>
                <c:pt idx="1002">
                  <c:v>34.61</c:v>
                </c:pt>
                <c:pt idx="1003">
                  <c:v>35.020000000000003</c:v>
                </c:pt>
                <c:pt idx="1004">
                  <c:v>29.68</c:v>
                </c:pt>
                <c:pt idx="1005">
                  <c:v>32.07</c:v>
                </c:pt>
                <c:pt idx="1006">
                  <c:v>35.54</c:v>
                </c:pt>
                <c:pt idx="1007">
                  <c:v>30.17</c:v>
                </c:pt>
                <c:pt idx="1008">
                  <c:v>29.46</c:v>
                </c:pt>
                <c:pt idx="1009">
                  <c:v>35.479999999999997</c:v>
                </c:pt>
                <c:pt idx="1010">
                  <c:v>36.57</c:v>
                </c:pt>
                <c:pt idx="1011">
                  <c:v>33.700000000000003</c:v>
                </c:pt>
                <c:pt idx="1012">
                  <c:v>33.729999999999997</c:v>
                </c:pt>
                <c:pt idx="1013">
                  <c:v>30.57</c:v>
                </c:pt>
                <c:pt idx="1014">
                  <c:v>28.79</c:v>
                </c:pt>
                <c:pt idx="1015">
                  <c:v>28.58</c:v>
                </c:pt>
                <c:pt idx="1016">
                  <c:v>25.87</c:v>
                </c:pt>
                <c:pt idx="1017">
                  <c:v>25.92</c:v>
                </c:pt>
                <c:pt idx="1018">
                  <c:v>25.05</c:v>
                </c:pt>
                <c:pt idx="1019">
                  <c:v>23.95</c:v>
                </c:pt>
                <c:pt idx="1020">
                  <c:v>24.88</c:v>
                </c:pt>
                <c:pt idx="1021">
                  <c:v>27.05</c:v>
                </c:pt>
                <c:pt idx="1022">
                  <c:v>26.91</c:v>
                </c:pt>
                <c:pt idx="1023">
                  <c:v>29.74</c:v>
                </c:pt>
                <c:pt idx="1024">
                  <c:v>28.53</c:v>
                </c:pt>
                <c:pt idx="1025">
                  <c:v>29</c:v>
                </c:pt>
                <c:pt idx="1026">
                  <c:v>34.130000000000003</c:v>
                </c:pt>
                <c:pt idx="1027">
                  <c:v>34.54</c:v>
                </c:pt>
                <c:pt idx="1028">
                  <c:v>32.86</c:v>
                </c:pt>
                <c:pt idx="1029">
                  <c:v>30.12</c:v>
                </c:pt>
                <c:pt idx="1030">
                  <c:v>29.65</c:v>
                </c:pt>
                <c:pt idx="1031">
                  <c:v>26.84</c:v>
                </c:pt>
                <c:pt idx="1032">
                  <c:v>25.71</c:v>
                </c:pt>
                <c:pt idx="1033">
                  <c:v>24.98</c:v>
                </c:pt>
                <c:pt idx="1034">
                  <c:v>24.43</c:v>
                </c:pt>
                <c:pt idx="1035">
                  <c:v>24.56</c:v>
                </c:pt>
                <c:pt idx="1036">
                  <c:v>24.89</c:v>
                </c:pt>
                <c:pt idx="1037">
                  <c:v>25.14</c:v>
                </c:pt>
                <c:pt idx="1038">
                  <c:v>26.25</c:v>
                </c:pt>
                <c:pt idx="1039">
                  <c:v>25.97</c:v>
                </c:pt>
                <c:pt idx="1040">
                  <c:v>23.93</c:v>
                </c:pt>
                <c:pt idx="1041">
                  <c:v>25.64</c:v>
                </c:pt>
                <c:pt idx="1042">
                  <c:v>24.63</c:v>
                </c:pt>
                <c:pt idx="1043">
                  <c:v>23.47</c:v>
                </c:pt>
                <c:pt idx="1044">
                  <c:v>22.73</c:v>
                </c:pt>
                <c:pt idx="1045">
                  <c:v>23.19</c:v>
                </c:pt>
                <c:pt idx="1046">
                  <c:v>24.25</c:v>
                </c:pt>
                <c:pt idx="1047">
                  <c:v>24.13</c:v>
                </c:pt>
                <c:pt idx="1048">
                  <c:v>23.5</c:v>
                </c:pt>
                <c:pt idx="1049">
                  <c:v>22.01</c:v>
                </c:pt>
                <c:pt idx="1050">
                  <c:v>22.63</c:v>
                </c:pt>
                <c:pt idx="1051">
                  <c:v>22.21</c:v>
                </c:pt>
                <c:pt idx="1052">
                  <c:v>22.1</c:v>
                </c:pt>
                <c:pt idx="1053">
                  <c:v>21.74</c:v>
                </c:pt>
                <c:pt idx="1054">
                  <c:v>22.14</c:v>
                </c:pt>
                <c:pt idx="1055">
                  <c:v>22.37</c:v>
                </c:pt>
                <c:pt idx="1056">
                  <c:v>25.39</c:v>
                </c:pt>
                <c:pt idx="1057">
                  <c:v>25.73</c:v>
                </c:pt>
                <c:pt idx="1058">
                  <c:v>26.24</c:v>
                </c:pt>
                <c:pt idx="1059">
                  <c:v>26.1</c:v>
                </c:pt>
                <c:pt idx="1060">
                  <c:v>24.33</c:v>
                </c:pt>
                <c:pt idx="1061">
                  <c:v>24.59</c:v>
                </c:pt>
                <c:pt idx="1062">
                  <c:v>26.44</c:v>
                </c:pt>
                <c:pt idx="1063">
                  <c:v>25.49</c:v>
                </c:pt>
                <c:pt idx="1064">
                  <c:v>25.66</c:v>
                </c:pt>
                <c:pt idx="1065">
                  <c:v>27.46</c:v>
                </c:pt>
                <c:pt idx="1066">
                  <c:v>26.7</c:v>
                </c:pt>
                <c:pt idx="1067">
                  <c:v>27.37</c:v>
                </c:pt>
                <c:pt idx="1068">
                  <c:v>24.45</c:v>
                </c:pt>
                <c:pt idx="1069">
                  <c:v>27.21</c:v>
                </c:pt>
                <c:pt idx="1070">
                  <c:v>26.05</c:v>
                </c:pt>
                <c:pt idx="1071">
                  <c:v>23.89</c:v>
                </c:pt>
                <c:pt idx="1072">
                  <c:v>23.19</c:v>
                </c:pt>
                <c:pt idx="1073">
                  <c:v>21.31</c:v>
                </c:pt>
                <c:pt idx="1074">
                  <c:v>23.8</c:v>
                </c:pt>
                <c:pt idx="1075">
                  <c:v>23.25</c:v>
                </c:pt>
                <c:pt idx="1076">
                  <c:v>22.81</c:v>
                </c:pt>
                <c:pt idx="1077">
                  <c:v>21.99</c:v>
                </c:pt>
                <c:pt idx="1078">
                  <c:v>21.21</c:v>
                </c:pt>
                <c:pt idx="1079">
                  <c:v>21.56</c:v>
                </c:pt>
                <c:pt idx="1080">
                  <c:v>22.1</c:v>
                </c:pt>
                <c:pt idx="1081">
                  <c:v>21.72</c:v>
                </c:pt>
                <c:pt idx="1082">
                  <c:v>22.01</c:v>
                </c:pt>
                <c:pt idx="1083">
                  <c:v>21.5</c:v>
                </c:pt>
                <c:pt idx="1084">
                  <c:v>22.35</c:v>
                </c:pt>
                <c:pt idx="1085">
                  <c:v>22.51</c:v>
                </c:pt>
                <c:pt idx="1086">
                  <c:v>23.87</c:v>
                </c:pt>
                <c:pt idx="1087">
                  <c:v>21.71</c:v>
                </c:pt>
                <c:pt idx="1088">
                  <c:v>22.54</c:v>
                </c:pt>
                <c:pt idx="1089">
                  <c:v>22.6</c:v>
                </c:pt>
                <c:pt idx="1090">
                  <c:v>23.25</c:v>
                </c:pt>
                <c:pt idx="1091">
                  <c:v>23.7</c:v>
                </c:pt>
                <c:pt idx="1092">
                  <c:v>22.5</c:v>
                </c:pt>
                <c:pt idx="1093">
                  <c:v>23.53</c:v>
                </c:pt>
                <c:pt idx="1094">
                  <c:v>21.76</c:v>
                </c:pt>
                <c:pt idx="1095">
                  <c:v>21.49</c:v>
                </c:pt>
                <c:pt idx="1096">
                  <c:v>21.56</c:v>
                </c:pt>
                <c:pt idx="1097">
                  <c:v>20.71</c:v>
                </c:pt>
                <c:pt idx="1098">
                  <c:v>18.96</c:v>
                </c:pt>
                <c:pt idx="1099">
                  <c:v>18.93</c:v>
                </c:pt>
                <c:pt idx="1100">
                  <c:v>19.07</c:v>
                </c:pt>
                <c:pt idx="1101">
                  <c:v>19.88</c:v>
                </c:pt>
                <c:pt idx="1102">
                  <c:v>19.03</c:v>
                </c:pt>
                <c:pt idx="1103">
                  <c:v>19.09</c:v>
                </c:pt>
                <c:pt idx="1104">
                  <c:v>20.63</c:v>
                </c:pt>
                <c:pt idx="1105">
                  <c:v>19.79</c:v>
                </c:pt>
                <c:pt idx="1106">
                  <c:v>19.27</c:v>
                </c:pt>
                <c:pt idx="1107">
                  <c:v>18.78</c:v>
                </c:pt>
                <c:pt idx="1108">
                  <c:v>19.850000000000001</c:v>
                </c:pt>
                <c:pt idx="1109">
                  <c:v>20.22</c:v>
                </c:pt>
                <c:pt idx="1110">
                  <c:v>20.71</c:v>
                </c:pt>
                <c:pt idx="1111">
                  <c:v>20.88</c:v>
                </c:pt>
                <c:pt idx="1112">
                  <c:v>21.2</c:v>
                </c:pt>
                <c:pt idx="1113">
                  <c:v>21.83</c:v>
                </c:pt>
                <c:pt idx="1114">
                  <c:v>21.57</c:v>
                </c:pt>
                <c:pt idx="1115">
                  <c:v>19.559999999999999</c:v>
                </c:pt>
                <c:pt idx="1116">
                  <c:v>18.52</c:v>
                </c:pt>
                <c:pt idx="1117">
                  <c:v>18.260000000000002</c:v>
                </c:pt>
                <c:pt idx="1118">
                  <c:v>18.29</c:v>
                </c:pt>
                <c:pt idx="1119">
                  <c:v>19.079999999999998</c:v>
                </c:pt>
                <c:pt idx="1120">
                  <c:v>18.47</c:v>
                </c:pt>
                <c:pt idx="1121">
                  <c:v>18.64</c:v>
                </c:pt>
                <c:pt idx="1122">
                  <c:v>20.61</c:v>
                </c:pt>
                <c:pt idx="1123">
                  <c:v>20.2</c:v>
                </c:pt>
                <c:pt idx="1124">
                  <c:v>22.58</c:v>
                </c:pt>
                <c:pt idx="1125">
                  <c:v>21.76</c:v>
                </c:pt>
                <c:pt idx="1126">
                  <c:v>18.75</c:v>
                </c:pt>
                <c:pt idx="1127">
                  <c:v>18.04</c:v>
                </c:pt>
                <c:pt idx="1128">
                  <c:v>18.37</c:v>
                </c:pt>
                <c:pt idx="1129">
                  <c:v>20.63</c:v>
                </c:pt>
                <c:pt idx="1130">
                  <c:v>19.559999999999999</c:v>
                </c:pt>
                <c:pt idx="1131">
                  <c:v>22.22</c:v>
                </c:pt>
                <c:pt idx="1132">
                  <c:v>21.53</c:v>
                </c:pt>
                <c:pt idx="1133">
                  <c:v>23.54</c:v>
                </c:pt>
                <c:pt idx="1134">
                  <c:v>21.36</c:v>
                </c:pt>
                <c:pt idx="1135">
                  <c:v>19.39</c:v>
                </c:pt>
                <c:pt idx="1136">
                  <c:v>18.010000000000002</c:v>
                </c:pt>
                <c:pt idx="1137">
                  <c:v>18.02</c:v>
                </c:pt>
                <c:pt idx="1138">
                  <c:v>17.989999999999998</c:v>
                </c:pt>
                <c:pt idx="1139">
                  <c:v>17.739999999999998</c:v>
                </c:pt>
                <c:pt idx="1140">
                  <c:v>17.25</c:v>
                </c:pt>
                <c:pt idx="1141">
                  <c:v>17.61</c:v>
                </c:pt>
                <c:pt idx="1142">
                  <c:v>17.55</c:v>
                </c:pt>
                <c:pt idx="1143">
                  <c:v>17.61</c:v>
                </c:pt>
                <c:pt idx="1144">
                  <c:v>17.940000000000001</c:v>
                </c:pt>
                <c:pt idx="1145">
                  <c:v>17.39</c:v>
                </c:pt>
                <c:pt idx="1146">
                  <c:v>16.11</c:v>
                </c:pt>
                <c:pt idx="1147">
                  <c:v>16.41</c:v>
                </c:pt>
                <c:pt idx="1148">
                  <c:v>16.489999999999998</c:v>
                </c:pt>
                <c:pt idx="1149">
                  <c:v>15.45</c:v>
                </c:pt>
                <c:pt idx="1150">
                  <c:v>16.47</c:v>
                </c:pt>
                <c:pt idx="1151">
                  <c:v>17.670000000000002</c:v>
                </c:pt>
                <c:pt idx="1152">
                  <c:v>17.52</c:v>
                </c:pt>
                <c:pt idx="1153">
                  <c:v>17.28</c:v>
                </c:pt>
                <c:pt idx="1154">
                  <c:v>17.52</c:v>
                </c:pt>
                <c:pt idx="1155">
                  <c:v>17.75</c:v>
                </c:pt>
                <c:pt idx="1156">
                  <c:v>17.61</c:v>
                </c:pt>
                <c:pt idx="1157">
                  <c:v>17.38</c:v>
                </c:pt>
                <c:pt idx="1158">
                  <c:v>17.02</c:v>
                </c:pt>
                <c:pt idx="1159">
                  <c:v>17.399999999999999</c:v>
                </c:pt>
                <c:pt idx="1160">
                  <c:v>17.14</c:v>
                </c:pt>
                <c:pt idx="1161">
                  <c:v>17.54</c:v>
                </c:pt>
                <c:pt idx="1162">
                  <c:v>16.89</c:v>
                </c:pt>
                <c:pt idx="1163">
                  <c:v>16.239999999999998</c:v>
                </c:pt>
                <c:pt idx="1164">
                  <c:v>16.39</c:v>
                </c:pt>
                <c:pt idx="1165">
                  <c:v>15.46</c:v>
                </c:pt>
                <c:pt idx="1166">
                  <c:v>15.87</c:v>
                </c:pt>
                <c:pt idx="1167">
                  <c:v>17.309999999999999</c:v>
                </c:pt>
                <c:pt idx="1168">
                  <c:v>17.989999999999998</c:v>
                </c:pt>
                <c:pt idx="1169">
                  <c:v>18.47</c:v>
                </c:pt>
                <c:pt idx="1170">
                  <c:v>17.649999999999999</c:v>
                </c:pt>
                <c:pt idx="1171">
                  <c:v>17.59</c:v>
                </c:pt>
                <c:pt idx="1172">
                  <c:v>16.64</c:v>
                </c:pt>
                <c:pt idx="1173">
                  <c:v>16.149999999999999</c:v>
                </c:pt>
                <c:pt idx="1174">
                  <c:v>20.04</c:v>
                </c:pt>
                <c:pt idx="1175">
                  <c:v>19.53</c:v>
                </c:pt>
                <c:pt idx="1176">
                  <c:v>17.63</c:v>
                </c:pt>
                <c:pt idx="1177">
                  <c:v>17.3</c:v>
                </c:pt>
                <c:pt idx="1178">
                  <c:v>16.690000000000001</c:v>
                </c:pt>
                <c:pt idx="1179">
                  <c:v>15.93</c:v>
                </c:pt>
                <c:pt idx="1180">
                  <c:v>16.28</c:v>
                </c:pt>
                <c:pt idx="1181">
                  <c:v>15.81</c:v>
                </c:pt>
                <c:pt idx="1182">
                  <c:v>15.87</c:v>
                </c:pt>
                <c:pt idx="1183">
                  <c:v>16.09</c:v>
                </c:pt>
                <c:pt idx="1184">
                  <c:v>15.69</c:v>
                </c:pt>
                <c:pt idx="1185">
                  <c:v>15.95</c:v>
                </c:pt>
                <c:pt idx="1186">
                  <c:v>16.37</c:v>
                </c:pt>
                <c:pt idx="1187">
                  <c:v>16.72</c:v>
                </c:pt>
                <c:pt idx="1188">
                  <c:v>16.59</c:v>
                </c:pt>
                <c:pt idx="1189">
                  <c:v>16.43</c:v>
                </c:pt>
                <c:pt idx="1190">
                  <c:v>20.8</c:v>
                </c:pt>
                <c:pt idx="1191">
                  <c:v>22.13</c:v>
                </c:pt>
                <c:pt idx="1192">
                  <c:v>21.32</c:v>
                </c:pt>
                <c:pt idx="1193">
                  <c:v>19.22</c:v>
                </c:pt>
                <c:pt idx="1194">
                  <c:v>18.350000000000001</c:v>
                </c:pt>
                <c:pt idx="1195">
                  <c:v>21.01</c:v>
                </c:pt>
                <c:pt idx="1196">
                  <c:v>20.7</c:v>
                </c:pt>
                <c:pt idx="1197">
                  <c:v>18.600000000000001</c:v>
                </c:pt>
                <c:pt idx="1198">
                  <c:v>19.059999999999999</c:v>
                </c:pt>
                <c:pt idx="1199">
                  <c:v>20.66</c:v>
                </c:pt>
                <c:pt idx="1200">
                  <c:v>19.82</c:v>
                </c:pt>
                <c:pt idx="1201">
                  <c:v>20.22</c:v>
                </c:pt>
                <c:pt idx="1202">
                  <c:v>21.88</c:v>
                </c:pt>
                <c:pt idx="1203">
                  <c:v>20.079999999999998</c:v>
                </c:pt>
                <c:pt idx="1204">
                  <c:v>21.13</c:v>
                </c:pt>
                <c:pt idx="1205">
                  <c:v>24.32</c:v>
                </c:pt>
                <c:pt idx="1206">
                  <c:v>29.4</c:v>
                </c:pt>
                <c:pt idx="1207">
                  <c:v>26.37</c:v>
                </c:pt>
                <c:pt idx="1208">
                  <c:v>24.44</c:v>
                </c:pt>
                <c:pt idx="1209">
                  <c:v>20.61</c:v>
                </c:pt>
                <c:pt idx="1210">
                  <c:v>20.21</c:v>
                </c:pt>
                <c:pt idx="1211">
                  <c:v>19.170000000000002</c:v>
                </c:pt>
                <c:pt idx="1212">
                  <c:v>18</c:v>
                </c:pt>
                <c:pt idx="1213">
                  <c:v>17.91</c:v>
                </c:pt>
                <c:pt idx="1214">
                  <c:v>19.440000000000001</c:v>
                </c:pt>
                <c:pt idx="1215">
                  <c:v>18.16</c:v>
                </c:pt>
                <c:pt idx="1216">
                  <c:v>17.71</c:v>
                </c:pt>
                <c:pt idx="1217">
                  <c:v>17.739999999999998</c:v>
                </c:pt>
                <c:pt idx="1218">
                  <c:v>17.399999999999999</c:v>
                </c:pt>
                <c:pt idx="1219">
                  <c:v>17.5</c:v>
                </c:pt>
                <c:pt idx="1220">
                  <c:v>17.25</c:v>
                </c:pt>
                <c:pt idx="1221">
                  <c:v>16.899999999999999</c:v>
                </c:pt>
                <c:pt idx="1222">
                  <c:v>17.11</c:v>
                </c:pt>
                <c:pt idx="1223">
                  <c:v>17.87</c:v>
                </c:pt>
                <c:pt idx="1224">
                  <c:v>16.59</c:v>
                </c:pt>
                <c:pt idx="1225">
                  <c:v>17.09</c:v>
                </c:pt>
                <c:pt idx="1226">
                  <c:v>16.920000000000002</c:v>
                </c:pt>
                <c:pt idx="1227">
                  <c:v>16.27</c:v>
                </c:pt>
                <c:pt idx="1228">
                  <c:v>15.32</c:v>
                </c:pt>
                <c:pt idx="1229">
                  <c:v>16.96</c:v>
                </c:pt>
                <c:pt idx="1230">
                  <c:v>15.83</c:v>
                </c:pt>
                <c:pt idx="1231">
                  <c:v>15.07</c:v>
                </c:pt>
                <c:pt idx="1232">
                  <c:v>14.69</c:v>
                </c:pt>
                <c:pt idx="1233">
                  <c:v>15.77</c:v>
                </c:pt>
                <c:pt idx="1234">
                  <c:v>15.62</c:v>
                </c:pt>
                <c:pt idx="1235">
                  <c:v>15.35</c:v>
                </c:pt>
                <c:pt idx="1236">
                  <c:v>14.62</c:v>
                </c:pt>
                <c:pt idx="1237">
                  <c:v>14.75</c:v>
                </c:pt>
                <c:pt idx="1238">
                  <c:v>15.99</c:v>
                </c:pt>
                <c:pt idx="1239">
                  <c:v>16.7</c:v>
                </c:pt>
                <c:pt idx="1240">
                  <c:v>17.079999999999998</c:v>
                </c:pt>
                <c:pt idx="1241">
                  <c:v>18.2</c:v>
                </c:pt>
                <c:pt idx="1242">
                  <c:v>18.399999999999999</c:v>
                </c:pt>
                <c:pt idx="1243">
                  <c:v>17.16</c:v>
                </c:pt>
                <c:pt idx="1244">
                  <c:v>15.91</c:v>
                </c:pt>
                <c:pt idx="1245">
                  <c:v>16.95</c:v>
                </c:pt>
                <c:pt idx="1246">
                  <c:v>16.03</c:v>
                </c:pt>
                <c:pt idx="1247">
                  <c:v>17.07</c:v>
                </c:pt>
                <c:pt idx="1248">
                  <c:v>18.239999999999998</c:v>
                </c:pt>
                <c:pt idx="1249">
                  <c:v>17.55</c:v>
                </c:pt>
                <c:pt idx="1250">
                  <c:v>16.23</c:v>
                </c:pt>
                <c:pt idx="1251">
                  <c:v>15.52</c:v>
                </c:pt>
                <c:pt idx="1252">
                  <c:v>17.43</c:v>
                </c:pt>
                <c:pt idx="1253">
                  <c:v>18.27</c:v>
                </c:pt>
                <c:pt idx="1254">
                  <c:v>17.82</c:v>
                </c:pt>
                <c:pt idx="1255">
                  <c:v>17.07</c:v>
                </c:pt>
                <c:pt idx="1256">
                  <c:v>16.09</c:v>
                </c:pt>
                <c:pt idx="1257">
                  <c:v>15.98</c:v>
                </c:pt>
                <c:pt idx="1258">
                  <c:v>15.45</c:v>
                </c:pt>
                <c:pt idx="1259">
                  <c:v>18.3</c:v>
                </c:pt>
                <c:pt idx="1260">
                  <c:v>18.09</c:v>
                </c:pt>
                <c:pt idx="1261">
                  <c:v>17.95</c:v>
                </c:pt>
                <c:pt idx="1262">
                  <c:v>18.489999999999998</c:v>
                </c:pt>
                <c:pt idx="1263">
                  <c:v>18.07</c:v>
                </c:pt>
                <c:pt idx="1264">
                  <c:v>18.79</c:v>
                </c:pt>
                <c:pt idx="1265">
                  <c:v>17.77</c:v>
                </c:pt>
                <c:pt idx="1266">
                  <c:v>18.86</c:v>
                </c:pt>
                <c:pt idx="1267">
                  <c:v>19.61</c:v>
                </c:pt>
                <c:pt idx="1268">
                  <c:v>18.260000000000002</c:v>
                </c:pt>
                <c:pt idx="1269">
                  <c:v>21.32</c:v>
                </c:pt>
                <c:pt idx="1270">
                  <c:v>22.73</c:v>
                </c:pt>
                <c:pt idx="1271">
                  <c:v>21.85</c:v>
                </c:pt>
                <c:pt idx="1272">
                  <c:v>19.989999999999998</c:v>
                </c:pt>
                <c:pt idx="1273">
                  <c:v>18.86</c:v>
                </c:pt>
                <c:pt idx="1274">
                  <c:v>18.52</c:v>
                </c:pt>
                <c:pt idx="1275">
                  <c:v>19.29</c:v>
                </c:pt>
                <c:pt idx="1276">
                  <c:v>21.1</c:v>
                </c:pt>
                <c:pt idx="1277">
                  <c:v>20.56</c:v>
                </c:pt>
                <c:pt idx="1278">
                  <c:v>19.170000000000002</c:v>
                </c:pt>
                <c:pt idx="1279">
                  <c:v>17.27</c:v>
                </c:pt>
                <c:pt idx="1280">
                  <c:v>16.52</c:v>
                </c:pt>
                <c:pt idx="1281">
                  <c:v>15.87</c:v>
                </c:pt>
                <c:pt idx="1282">
                  <c:v>16.059999999999999</c:v>
                </c:pt>
                <c:pt idx="1283">
                  <c:v>16.34</c:v>
                </c:pt>
                <c:pt idx="1284">
                  <c:v>15.95</c:v>
                </c:pt>
                <c:pt idx="1285">
                  <c:v>15.95</c:v>
                </c:pt>
                <c:pt idx="1286">
                  <c:v>18.39</c:v>
                </c:pt>
                <c:pt idx="1287">
                  <c:v>19.87</c:v>
                </c:pt>
                <c:pt idx="1288">
                  <c:v>19.91</c:v>
                </c:pt>
                <c:pt idx="1289">
                  <c:v>20.8</c:v>
                </c:pt>
                <c:pt idx="1290">
                  <c:v>19.53</c:v>
                </c:pt>
                <c:pt idx="1291">
                  <c:v>20.95</c:v>
                </c:pt>
                <c:pt idx="1292">
                  <c:v>19.21</c:v>
                </c:pt>
                <c:pt idx="1293">
                  <c:v>19.09</c:v>
                </c:pt>
                <c:pt idx="1294">
                  <c:v>17.559999999999999</c:v>
                </c:pt>
                <c:pt idx="1295">
                  <c:v>17.52</c:v>
                </c:pt>
                <c:pt idx="1296">
                  <c:v>19.350000000000001</c:v>
                </c:pt>
                <c:pt idx="1297">
                  <c:v>20.23</c:v>
                </c:pt>
                <c:pt idx="1298">
                  <c:v>22.98</c:v>
                </c:pt>
                <c:pt idx="1299">
                  <c:v>23.74</c:v>
                </c:pt>
                <c:pt idx="1300">
                  <c:v>25.25</c:v>
                </c:pt>
                <c:pt idx="1301">
                  <c:v>23.66</c:v>
                </c:pt>
                <c:pt idx="1302">
                  <c:v>24.79</c:v>
                </c:pt>
                <c:pt idx="1303">
                  <c:v>23.38</c:v>
                </c:pt>
                <c:pt idx="1304">
                  <c:v>31.66</c:v>
                </c:pt>
                <c:pt idx="1305">
                  <c:v>32</c:v>
                </c:pt>
                <c:pt idx="1306">
                  <c:v>48</c:v>
                </c:pt>
                <c:pt idx="1307">
                  <c:v>35.06</c:v>
                </c:pt>
                <c:pt idx="1308">
                  <c:v>42.99</c:v>
                </c:pt>
                <c:pt idx="1309">
                  <c:v>39</c:v>
                </c:pt>
                <c:pt idx="1310">
                  <c:v>36.36</c:v>
                </c:pt>
                <c:pt idx="1311">
                  <c:v>31.87</c:v>
                </c:pt>
                <c:pt idx="1312">
                  <c:v>32.85</c:v>
                </c:pt>
                <c:pt idx="1313">
                  <c:v>31.58</c:v>
                </c:pt>
                <c:pt idx="1314">
                  <c:v>42.67</c:v>
                </c:pt>
                <c:pt idx="1315">
                  <c:v>43.05</c:v>
                </c:pt>
                <c:pt idx="1316">
                  <c:v>42.44</c:v>
                </c:pt>
                <c:pt idx="1317">
                  <c:v>36.270000000000003</c:v>
                </c:pt>
                <c:pt idx="1318">
                  <c:v>35.9</c:v>
                </c:pt>
                <c:pt idx="1319">
                  <c:v>39.76</c:v>
                </c:pt>
                <c:pt idx="1320">
                  <c:v>35.590000000000003</c:v>
                </c:pt>
                <c:pt idx="1321">
                  <c:v>32.28</c:v>
                </c:pt>
                <c:pt idx="1322">
                  <c:v>32.89</c:v>
                </c:pt>
                <c:pt idx="1323">
                  <c:v>31.62</c:v>
                </c:pt>
                <c:pt idx="1324">
                  <c:v>31.82</c:v>
                </c:pt>
                <c:pt idx="1325">
                  <c:v>33.92</c:v>
                </c:pt>
                <c:pt idx="1326">
                  <c:v>37</c:v>
                </c:pt>
                <c:pt idx="1327">
                  <c:v>33.380000000000003</c:v>
                </c:pt>
                <c:pt idx="1328">
                  <c:v>34.32</c:v>
                </c:pt>
                <c:pt idx="1329">
                  <c:v>38.520000000000003</c:v>
                </c:pt>
                <c:pt idx="1330">
                  <c:v>38.590000000000003</c:v>
                </c:pt>
                <c:pt idx="1331">
                  <c:v>36.909999999999997</c:v>
                </c:pt>
                <c:pt idx="1332">
                  <c:v>34.6</c:v>
                </c:pt>
                <c:pt idx="1333">
                  <c:v>31.97</c:v>
                </c:pt>
                <c:pt idx="1334">
                  <c:v>30.98</c:v>
                </c:pt>
                <c:pt idx="1335">
                  <c:v>32.729999999999997</c:v>
                </c:pt>
                <c:pt idx="1336">
                  <c:v>32.86</c:v>
                </c:pt>
                <c:pt idx="1337">
                  <c:v>37.32</c:v>
                </c:pt>
                <c:pt idx="1338">
                  <c:v>41.35</c:v>
                </c:pt>
                <c:pt idx="1339">
                  <c:v>41.25</c:v>
                </c:pt>
                <c:pt idx="1340">
                  <c:v>39.020000000000003</c:v>
                </c:pt>
                <c:pt idx="1341">
                  <c:v>37.71</c:v>
                </c:pt>
                <c:pt idx="1342">
                  <c:v>41.08</c:v>
                </c:pt>
                <c:pt idx="1343">
                  <c:v>38.840000000000003</c:v>
                </c:pt>
                <c:pt idx="1344">
                  <c:v>42.96</c:v>
                </c:pt>
                <c:pt idx="1345">
                  <c:v>45.45</c:v>
                </c:pt>
                <c:pt idx="1346">
                  <c:v>40.82</c:v>
                </c:pt>
                <c:pt idx="1347">
                  <c:v>37.81</c:v>
                </c:pt>
                <c:pt idx="1348">
                  <c:v>36.270000000000003</c:v>
                </c:pt>
                <c:pt idx="1349">
                  <c:v>36.200000000000003</c:v>
                </c:pt>
                <c:pt idx="1350">
                  <c:v>33.020000000000003</c:v>
                </c:pt>
                <c:pt idx="1351">
                  <c:v>32.86</c:v>
                </c:pt>
                <c:pt idx="1352">
                  <c:v>31.26</c:v>
                </c:pt>
                <c:pt idx="1353">
                  <c:v>30.7</c:v>
                </c:pt>
                <c:pt idx="1354">
                  <c:v>28.24</c:v>
                </c:pt>
                <c:pt idx="1355">
                  <c:v>33.39</c:v>
                </c:pt>
                <c:pt idx="1356">
                  <c:v>31.56</c:v>
                </c:pt>
                <c:pt idx="1357">
                  <c:v>34.44</c:v>
                </c:pt>
                <c:pt idx="1358">
                  <c:v>34.78</c:v>
                </c:pt>
                <c:pt idx="1359">
                  <c:v>31.32</c:v>
                </c:pt>
                <c:pt idx="1360">
                  <c:v>29.26</c:v>
                </c:pt>
                <c:pt idx="1361">
                  <c:v>32.22</c:v>
                </c:pt>
                <c:pt idx="1362">
                  <c:v>29.86</c:v>
                </c:pt>
                <c:pt idx="1363">
                  <c:v>25.46</c:v>
                </c:pt>
                <c:pt idx="1364">
                  <c:v>24.53</c:v>
                </c:pt>
                <c:pt idx="1365">
                  <c:v>29.96</c:v>
                </c:pt>
                <c:pt idx="1366">
                  <c:v>34.770000000000003</c:v>
                </c:pt>
                <c:pt idx="1367">
                  <c:v>32.74</c:v>
                </c:pt>
                <c:pt idx="1368">
                  <c:v>30.5</c:v>
                </c:pt>
                <c:pt idx="1369">
                  <c:v>30.16</c:v>
                </c:pt>
                <c:pt idx="1370">
                  <c:v>29.85</c:v>
                </c:pt>
                <c:pt idx="1371">
                  <c:v>27.48</c:v>
                </c:pt>
                <c:pt idx="1372">
                  <c:v>36.159999999999997</c:v>
                </c:pt>
                <c:pt idx="1373">
                  <c:v>32.81</c:v>
                </c:pt>
                <c:pt idx="1374">
                  <c:v>30.04</c:v>
                </c:pt>
                <c:pt idx="1375">
                  <c:v>31.13</c:v>
                </c:pt>
                <c:pt idx="1376">
                  <c:v>31.22</c:v>
                </c:pt>
                <c:pt idx="1377">
                  <c:v>33.51</c:v>
                </c:pt>
                <c:pt idx="1378">
                  <c:v>34.51</c:v>
                </c:pt>
                <c:pt idx="1379">
                  <c:v>32</c:v>
                </c:pt>
                <c:pt idx="1380">
                  <c:v>32.909999999999997</c:v>
                </c:pt>
                <c:pt idx="1381">
                  <c:v>31.97</c:v>
                </c:pt>
                <c:pt idx="1382">
                  <c:v>33.979999999999997</c:v>
                </c:pt>
                <c:pt idx="1383">
                  <c:v>34.47</c:v>
                </c:pt>
                <c:pt idx="1384">
                  <c:v>32.130000000000003</c:v>
                </c:pt>
                <c:pt idx="1385">
                  <c:v>30.64</c:v>
                </c:pt>
                <c:pt idx="1386">
                  <c:v>27.8</c:v>
                </c:pt>
                <c:pt idx="1387">
                  <c:v>27.41</c:v>
                </c:pt>
                <c:pt idx="1388">
                  <c:v>27.52</c:v>
                </c:pt>
                <c:pt idx="1389">
                  <c:v>27.84</c:v>
                </c:pt>
                <c:pt idx="1390">
                  <c:v>28.13</c:v>
                </c:pt>
                <c:pt idx="1391">
                  <c:v>28.67</c:v>
                </c:pt>
                <c:pt idx="1392">
                  <c:v>30.59</c:v>
                </c:pt>
                <c:pt idx="1393">
                  <c:v>26.38</c:v>
                </c:pt>
                <c:pt idx="1394">
                  <c:v>25.67</c:v>
                </c:pt>
                <c:pt idx="1395">
                  <c:v>25.41</c:v>
                </c:pt>
                <c:pt idx="1396">
                  <c:v>26.04</c:v>
                </c:pt>
                <c:pt idx="1397">
                  <c:v>25.11</c:v>
                </c:pt>
                <c:pt idx="1398">
                  <c:v>24.29</c:v>
                </c:pt>
                <c:pt idx="1399">
                  <c:v>24.92</c:v>
                </c:pt>
                <c:pt idx="1400">
                  <c:v>23.22</c:v>
                </c:pt>
                <c:pt idx="1401">
                  <c:v>21.43</c:v>
                </c:pt>
                <c:pt idx="1402">
                  <c:v>21.16</c:v>
                </c:pt>
                <c:pt idx="1403">
                  <c:v>20.73</c:v>
                </c:pt>
                <c:pt idx="1404">
                  <c:v>21.91</c:v>
                </c:pt>
                <c:pt idx="1405">
                  <c:v>23.52</c:v>
                </c:pt>
                <c:pt idx="1406">
                  <c:v>22.65</c:v>
                </c:pt>
                <c:pt idx="1407">
                  <c:v>23.4</c:v>
                </c:pt>
                <c:pt idx="1408">
                  <c:v>22.97</c:v>
                </c:pt>
                <c:pt idx="1409">
                  <c:v>22.22</c:v>
                </c:pt>
                <c:pt idx="1410">
                  <c:v>21.48</c:v>
                </c:pt>
                <c:pt idx="1411">
                  <c:v>20.63</c:v>
                </c:pt>
                <c:pt idx="1412">
                  <c:v>21.07</c:v>
                </c:pt>
                <c:pt idx="1413">
                  <c:v>20.69</c:v>
                </c:pt>
                <c:pt idx="1414">
                  <c:v>21.05</c:v>
                </c:pt>
                <c:pt idx="1415">
                  <c:v>20.47</c:v>
                </c:pt>
                <c:pt idx="1416">
                  <c:v>20.91</c:v>
                </c:pt>
                <c:pt idx="1417">
                  <c:v>22.2</c:v>
                </c:pt>
                <c:pt idx="1418">
                  <c:v>20.89</c:v>
                </c:pt>
                <c:pt idx="1419">
                  <c:v>19.87</c:v>
                </c:pt>
                <c:pt idx="1420">
                  <c:v>18.28</c:v>
                </c:pt>
                <c:pt idx="1421">
                  <c:v>18.670000000000002</c:v>
                </c:pt>
                <c:pt idx="1422">
                  <c:v>18.91</c:v>
                </c:pt>
                <c:pt idx="1423">
                  <c:v>18.309999999999999</c:v>
                </c:pt>
                <c:pt idx="1424">
                  <c:v>18.57</c:v>
                </c:pt>
                <c:pt idx="1425">
                  <c:v>18.53</c:v>
                </c:pt>
                <c:pt idx="1426">
                  <c:v>19.399999999999999</c:v>
                </c:pt>
                <c:pt idx="1427">
                  <c:v>19.440000000000001</c:v>
                </c:pt>
                <c:pt idx="1428">
                  <c:v>18.55</c:v>
                </c:pt>
                <c:pt idx="1429">
                  <c:v>17.98</c:v>
                </c:pt>
                <c:pt idx="1430">
                  <c:v>17.100000000000001</c:v>
                </c:pt>
                <c:pt idx="1431">
                  <c:v>17.760000000000002</c:v>
                </c:pt>
                <c:pt idx="1432">
                  <c:v>17.649999999999999</c:v>
                </c:pt>
                <c:pt idx="1433">
                  <c:v>18.16</c:v>
                </c:pt>
                <c:pt idx="1434">
                  <c:v>18.63</c:v>
                </c:pt>
                <c:pt idx="1435">
                  <c:v>20.79</c:v>
                </c:pt>
                <c:pt idx="1436">
                  <c:v>19.04</c:v>
                </c:pt>
                <c:pt idx="1437">
                  <c:v>19.54</c:v>
                </c:pt>
                <c:pt idx="1438">
                  <c:v>21.14</c:v>
                </c:pt>
                <c:pt idx="1439">
                  <c:v>19.22</c:v>
                </c:pt>
                <c:pt idx="1440">
                  <c:v>17.78</c:v>
                </c:pt>
                <c:pt idx="1441">
                  <c:v>18.190000000000001</c:v>
                </c:pt>
                <c:pt idx="1442">
                  <c:v>18.190000000000001</c:v>
                </c:pt>
                <c:pt idx="1443">
                  <c:v>16.8</c:v>
                </c:pt>
                <c:pt idx="1444">
                  <c:v>17.309999999999999</c:v>
                </c:pt>
                <c:pt idx="1445">
                  <c:v>18.190000000000001</c:v>
                </c:pt>
                <c:pt idx="1446">
                  <c:v>17.96</c:v>
                </c:pt>
                <c:pt idx="1447">
                  <c:v>18.43</c:v>
                </c:pt>
                <c:pt idx="1448">
                  <c:v>17.260000000000002</c:v>
                </c:pt>
                <c:pt idx="1449">
                  <c:v>17.29</c:v>
                </c:pt>
                <c:pt idx="1450">
                  <c:v>18.05</c:v>
                </c:pt>
                <c:pt idx="1451">
                  <c:v>20.87</c:v>
                </c:pt>
                <c:pt idx="1452">
                  <c:v>19.07</c:v>
                </c:pt>
                <c:pt idx="1453">
                  <c:v>17.95</c:v>
                </c:pt>
                <c:pt idx="1454">
                  <c:v>17.11</c:v>
                </c:pt>
                <c:pt idx="1455">
                  <c:v>15.64</c:v>
                </c:pt>
                <c:pt idx="1456">
                  <c:v>14.8</c:v>
                </c:pt>
                <c:pt idx="1457">
                  <c:v>15.31</c:v>
                </c:pt>
                <c:pt idx="1458">
                  <c:v>15.42</c:v>
                </c:pt>
                <c:pt idx="1459">
                  <c:v>14.47</c:v>
                </c:pt>
                <c:pt idx="1460">
                  <c:v>15.04</c:v>
                </c:pt>
                <c:pt idx="1461">
                  <c:v>15.58</c:v>
                </c:pt>
                <c:pt idx="1462">
                  <c:v>15.13</c:v>
                </c:pt>
                <c:pt idx="1463">
                  <c:v>15.57</c:v>
                </c:pt>
                <c:pt idx="1464">
                  <c:v>14.82</c:v>
                </c:pt>
                <c:pt idx="1465">
                  <c:v>14.26</c:v>
                </c:pt>
                <c:pt idx="1466">
                  <c:v>15.59</c:v>
                </c:pt>
                <c:pt idx="1467">
                  <c:v>15.47</c:v>
                </c:pt>
                <c:pt idx="1468">
                  <c:v>15.48</c:v>
                </c:pt>
                <c:pt idx="1469">
                  <c:v>15.5</c:v>
                </c:pt>
                <c:pt idx="1470">
                  <c:v>15.64</c:v>
                </c:pt>
                <c:pt idx="1471">
                  <c:v>15.66</c:v>
                </c:pt>
                <c:pt idx="1472">
                  <c:v>16.440000000000001</c:v>
                </c:pt>
                <c:pt idx="1473">
                  <c:v>16.7</c:v>
                </c:pt>
                <c:pt idx="1474">
                  <c:v>18.809999999999999</c:v>
                </c:pt>
                <c:pt idx="1475">
                  <c:v>20.39</c:v>
                </c:pt>
                <c:pt idx="1476">
                  <c:v>20.02</c:v>
                </c:pt>
                <c:pt idx="1477">
                  <c:v>17.2</c:v>
                </c:pt>
                <c:pt idx="1478">
                  <c:v>19.55</c:v>
                </c:pt>
                <c:pt idx="1479">
                  <c:v>19.55</c:v>
                </c:pt>
                <c:pt idx="1480">
                  <c:v>18.46</c:v>
                </c:pt>
                <c:pt idx="1481">
                  <c:v>18.64</c:v>
                </c:pt>
                <c:pt idx="1482">
                  <c:v>18.36</c:v>
                </c:pt>
                <c:pt idx="1483">
                  <c:v>17.440000000000001</c:v>
                </c:pt>
                <c:pt idx="1484">
                  <c:v>18.97</c:v>
                </c:pt>
                <c:pt idx="1485">
                  <c:v>18.100000000000001</c:v>
                </c:pt>
                <c:pt idx="1486">
                  <c:v>16.82</c:v>
                </c:pt>
                <c:pt idx="1487">
                  <c:v>16.239999999999998</c:v>
                </c:pt>
                <c:pt idx="1488">
                  <c:v>16.32</c:v>
                </c:pt>
                <c:pt idx="1489">
                  <c:v>17.149999999999999</c:v>
                </c:pt>
                <c:pt idx="1490">
                  <c:v>16.600000000000001</c:v>
                </c:pt>
                <c:pt idx="1491">
                  <c:v>16.88</c:v>
                </c:pt>
                <c:pt idx="1492">
                  <c:v>17.559999999999999</c:v>
                </c:pt>
                <c:pt idx="1493">
                  <c:v>19.16</c:v>
                </c:pt>
                <c:pt idx="1494">
                  <c:v>18.940000000000001</c:v>
                </c:pt>
                <c:pt idx="1495">
                  <c:v>19.05</c:v>
                </c:pt>
                <c:pt idx="1496">
                  <c:v>20.079999999999998</c:v>
                </c:pt>
                <c:pt idx="1497">
                  <c:v>18.829999999999998</c:v>
                </c:pt>
                <c:pt idx="1498">
                  <c:v>19.89</c:v>
                </c:pt>
                <c:pt idx="1499">
                  <c:v>21.87</c:v>
                </c:pt>
                <c:pt idx="1500">
                  <c:v>21.97</c:v>
                </c:pt>
                <c:pt idx="1501">
                  <c:v>22.27</c:v>
                </c:pt>
                <c:pt idx="1502">
                  <c:v>24.49</c:v>
                </c:pt>
                <c:pt idx="1503">
                  <c:v>25.1</c:v>
                </c:pt>
                <c:pt idx="1504">
                  <c:v>22.01</c:v>
                </c:pt>
                <c:pt idx="1505">
                  <c:v>22.48</c:v>
                </c:pt>
                <c:pt idx="1506">
                  <c:v>22.33</c:v>
                </c:pt>
                <c:pt idx="1507">
                  <c:v>21.54</c:v>
                </c:pt>
                <c:pt idx="1508">
                  <c:v>21.76</c:v>
                </c:pt>
                <c:pt idx="1509">
                  <c:v>21.03</c:v>
                </c:pt>
                <c:pt idx="1510">
                  <c:v>24.14</c:v>
                </c:pt>
                <c:pt idx="1511">
                  <c:v>24.06</c:v>
                </c:pt>
                <c:pt idx="1512">
                  <c:v>26.66</c:v>
                </c:pt>
                <c:pt idx="1513">
                  <c:v>26.12</c:v>
                </c:pt>
                <c:pt idx="1514">
                  <c:v>24.68</c:v>
                </c:pt>
                <c:pt idx="1515">
                  <c:v>22.16</c:v>
                </c:pt>
                <c:pt idx="1516">
                  <c:v>21.72</c:v>
                </c:pt>
                <c:pt idx="1517">
                  <c:v>21.23</c:v>
                </c:pt>
                <c:pt idx="1518">
                  <c:v>23.56</c:v>
                </c:pt>
                <c:pt idx="1519">
                  <c:v>22.09</c:v>
                </c:pt>
                <c:pt idx="1520">
                  <c:v>24.27</c:v>
                </c:pt>
                <c:pt idx="1521">
                  <c:v>21.68</c:v>
                </c:pt>
                <c:pt idx="1522">
                  <c:v>21.11</c:v>
                </c:pt>
                <c:pt idx="1523">
                  <c:v>18.32</c:v>
                </c:pt>
                <c:pt idx="1524">
                  <c:v>18.38</c:v>
                </c:pt>
                <c:pt idx="1525">
                  <c:v>17.239999999999998</c:v>
                </c:pt>
                <c:pt idx="1526">
                  <c:v>20.079999999999998</c:v>
                </c:pt>
                <c:pt idx="1527">
                  <c:v>18.11</c:v>
                </c:pt>
                <c:pt idx="1528">
                  <c:v>20.38</c:v>
                </c:pt>
                <c:pt idx="1529">
                  <c:v>19.72</c:v>
                </c:pt>
                <c:pt idx="1530">
                  <c:v>19.45</c:v>
                </c:pt>
                <c:pt idx="1531">
                  <c:v>19.71</c:v>
                </c:pt>
                <c:pt idx="1532">
                  <c:v>17.079999999999998</c:v>
                </c:pt>
                <c:pt idx="1533">
                  <c:v>16.8</c:v>
                </c:pt>
                <c:pt idx="1534">
                  <c:v>16.66</c:v>
                </c:pt>
                <c:pt idx="1535">
                  <c:v>17.5</c:v>
                </c:pt>
                <c:pt idx="1536">
                  <c:v>17.100000000000001</c:v>
                </c:pt>
                <c:pt idx="1537">
                  <c:v>17.98</c:v>
                </c:pt>
                <c:pt idx="1538">
                  <c:v>18.72</c:v>
                </c:pt>
                <c:pt idx="1539">
                  <c:v>17.95</c:v>
                </c:pt>
                <c:pt idx="1540">
                  <c:v>18.329999999999998</c:v>
                </c:pt>
                <c:pt idx="1541">
                  <c:v>16.739999999999998</c:v>
                </c:pt>
                <c:pt idx="1542">
                  <c:v>17.11</c:v>
                </c:pt>
                <c:pt idx="1543">
                  <c:v>16.48</c:v>
                </c:pt>
                <c:pt idx="1544">
                  <c:v>16.16</c:v>
                </c:pt>
                <c:pt idx="1545">
                  <c:v>15.45</c:v>
                </c:pt>
                <c:pt idx="1546">
                  <c:v>16.27</c:v>
                </c:pt>
                <c:pt idx="1547">
                  <c:v>18.62</c:v>
                </c:pt>
                <c:pt idx="1548">
                  <c:v>20.47</c:v>
                </c:pt>
                <c:pt idx="1549">
                  <c:v>19.34</c:v>
                </c:pt>
                <c:pt idx="1550">
                  <c:v>17.53</c:v>
                </c:pt>
                <c:pt idx="1551">
                  <c:v>16.7</c:v>
                </c:pt>
                <c:pt idx="1552">
                  <c:v>18.03</c:v>
                </c:pt>
                <c:pt idx="1553">
                  <c:v>18.93</c:v>
                </c:pt>
                <c:pt idx="1554">
                  <c:v>18.96</c:v>
                </c:pt>
                <c:pt idx="1555">
                  <c:v>17.57</c:v>
                </c:pt>
                <c:pt idx="1556">
                  <c:v>15.64</c:v>
                </c:pt>
                <c:pt idx="1557">
                  <c:v>15.95</c:v>
                </c:pt>
                <c:pt idx="1558">
                  <c:v>15.99</c:v>
                </c:pt>
                <c:pt idx="1559">
                  <c:v>15.32</c:v>
                </c:pt>
                <c:pt idx="1560">
                  <c:v>15.28</c:v>
                </c:pt>
                <c:pt idx="1561">
                  <c:v>14.74</c:v>
                </c:pt>
                <c:pt idx="1562">
                  <c:v>13.7</c:v>
                </c:pt>
                <c:pt idx="1563">
                  <c:v>14.85</c:v>
                </c:pt>
                <c:pt idx="1564">
                  <c:v>14.63</c:v>
                </c:pt>
                <c:pt idx="1565">
                  <c:v>14.29</c:v>
                </c:pt>
                <c:pt idx="1566">
                  <c:v>13.45</c:v>
                </c:pt>
                <c:pt idx="1567">
                  <c:v>14.02</c:v>
                </c:pt>
                <c:pt idx="1568">
                  <c:v>15.02</c:v>
                </c:pt>
                <c:pt idx="1569">
                  <c:v>15.11</c:v>
                </c:pt>
                <c:pt idx="1570">
                  <c:v>15.96</c:v>
                </c:pt>
                <c:pt idx="1571">
                  <c:v>15.18</c:v>
                </c:pt>
                <c:pt idx="1572">
                  <c:v>16.350000000000001</c:v>
                </c:pt>
                <c:pt idx="1573">
                  <c:v>16.489999999999998</c:v>
                </c:pt>
                <c:pt idx="1574">
                  <c:v>17.059999999999999</c:v>
                </c:pt>
                <c:pt idx="1575">
                  <c:v>17.829999999999998</c:v>
                </c:pt>
                <c:pt idx="1576">
                  <c:v>17.47</c:v>
                </c:pt>
                <c:pt idx="1577">
                  <c:v>17.98</c:v>
                </c:pt>
                <c:pt idx="1578">
                  <c:v>17.739999999999998</c:v>
                </c:pt>
                <c:pt idx="1579">
                  <c:v>15.6</c:v>
                </c:pt>
                <c:pt idx="1580">
                  <c:v>14.38</c:v>
                </c:pt>
                <c:pt idx="1581">
                  <c:v>16.28</c:v>
                </c:pt>
                <c:pt idx="1582">
                  <c:v>16.41</c:v>
                </c:pt>
                <c:pt idx="1583">
                  <c:v>15.8</c:v>
                </c:pt>
                <c:pt idx="1584">
                  <c:v>14.05</c:v>
                </c:pt>
                <c:pt idx="1585">
                  <c:v>14.51</c:v>
                </c:pt>
                <c:pt idx="1586">
                  <c:v>14.59</c:v>
                </c:pt>
                <c:pt idx="1587">
                  <c:v>14.18</c:v>
                </c:pt>
                <c:pt idx="1588">
                  <c:v>13.88</c:v>
                </c:pt>
                <c:pt idx="1589">
                  <c:v>14.07</c:v>
                </c:pt>
                <c:pt idx="1590">
                  <c:v>13.98</c:v>
                </c:pt>
                <c:pt idx="1591">
                  <c:v>14.15</c:v>
                </c:pt>
                <c:pt idx="1592">
                  <c:v>15.43</c:v>
                </c:pt>
                <c:pt idx="1593">
                  <c:v>16.809999999999999</c:v>
                </c:pt>
                <c:pt idx="1594">
                  <c:v>14.84</c:v>
                </c:pt>
                <c:pt idx="1595">
                  <c:v>15.73</c:v>
                </c:pt>
                <c:pt idx="1596">
                  <c:v>16.32</c:v>
                </c:pt>
                <c:pt idx="1597">
                  <c:v>15.71</c:v>
                </c:pt>
                <c:pt idx="1598">
                  <c:v>15.43</c:v>
                </c:pt>
                <c:pt idx="1599">
                  <c:v>14.55</c:v>
                </c:pt>
                <c:pt idx="1600">
                  <c:v>14.33</c:v>
                </c:pt>
                <c:pt idx="1601">
                  <c:v>15.11</c:v>
                </c:pt>
                <c:pt idx="1602">
                  <c:v>16.37</c:v>
                </c:pt>
                <c:pt idx="1603">
                  <c:v>16.29</c:v>
                </c:pt>
                <c:pt idx="1604">
                  <c:v>15.59</c:v>
                </c:pt>
                <c:pt idx="1605">
                  <c:v>16.14</c:v>
                </c:pt>
                <c:pt idx="1606">
                  <c:v>15.27</c:v>
                </c:pt>
                <c:pt idx="1607">
                  <c:v>15.22</c:v>
                </c:pt>
                <c:pt idx="1608">
                  <c:v>15.07</c:v>
                </c:pt>
                <c:pt idx="1609">
                  <c:v>15.03</c:v>
                </c:pt>
                <c:pt idx="1610">
                  <c:v>17.059999999999999</c:v>
                </c:pt>
                <c:pt idx="1611">
                  <c:v>16.62</c:v>
                </c:pt>
                <c:pt idx="1612">
                  <c:v>18.829999999999998</c:v>
                </c:pt>
                <c:pt idx="1613">
                  <c:v>18.329999999999998</c:v>
                </c:pt>
                <c:pt idx="1614">
                  <c:v>18.12</c:v>
                </c:pt>
                <c:pt idx="1615">
                  <c:v>17.809999999999999</c:v>
                </c:pt>
                <c:pt idx="1616">
                  <c:v>18.600000000000001</c:v>
                </c:pt>
                <c:pt idx="1617">
                  <c:v>16.690000000000001</c:v>
                </c:pt>
                <c:pt idx="1618">
                  <c:v>17.59</c:v>
                </c:pt>
                <c:pt idx="1619">
                  <c:v>18.420000000000002</c:v>
                </c:pt>
                <c:pt idx="1620">
                  <c:v>17.579999999999998</c:v>
                </c:pt>
                <c:pt idx="1621">
                  <c:v>19.079999999999998</c:v>
                </c:pt>
                <c:pt idx="1622">
                  <c:v>18.489999999999998</c:v>
                </c:pt>
                <c:pt idx="1623">
                  <c:v>18.61</c:v>
                </c:pt>
                <c:pt idx="1624">
                  <c:v>16.68</c:v>
                </c:pt>
                <c:pt idx="1625">
                  <c:v>16.649999999999999</c:v>
                </c:pt>
                <c:pt idx="1626">
                  <c:v>17.920000000000002</c:v>
                </c:pt>
                <c:pt idx="1627">
                  <c:v>17.989999999999998</c:v>
                </c:pt>
                <c:pt idx="1628">
                  <c:v>16.41</c:v>
                </c:pt>
                <c:pt idx="1629">
                  <c:v>15.24</c:v>
                </c:pt>
                <c:pt idx="1630">
                  <c:v>15.08</c:v>
                </c:pt>
                <c:pt idx="1631">
                  <c:v>15.31</c:v>
                </c:pt>
                <c:pt idx="1632">
                  <c:v>15.14</c:v>
                </c:pt>
                <c:pt idx="1633">
                  <c:v>15.5</c:v>
                </c:pt>
                <c:pt idx="1634">
                  <c:v>15.92</c:v>
                </c:pt>
                <c:pt idx="1635">
                  <c:v>15.51</c:v>
                </c:pt>
                <c:pt idx="1636">
                  <c:v>15.06</c:v>
                </c:pt>
                <c:pt idx="1637">
                  <c:v>15.87</c:v>
                </c:pt>
                <c:pt idx="1638">
                  <c:v>16.64</c:v>
                </c:pt>
                <c:pt idx="1639">
                  <c:v>17.12</c:v>
                </c:pt>
                <c:pt idx="1640">
                  <c:v>16.46</c:v>
                </c:pt>
                <c:pt idx="1641">
                  <c:v>16.579999999999998</c:v>
                </c:pt>
                <c:pt idx="1642">
                  <c:v>15.9</c:v>
                </c:pt>
                <c:pt idx="1643">
                  <c:v>16.05</c:v>
                </c:pt>
                <c:pt idx="1644">
                  <c:v>15.57</c:v>
                </c:pt>
                <c:pt idx="1645">
                  <c:v>15.95</c:v>
                </c:pt>
                <c:pt idx="1646">
                  <c:v>16.559999999999999</c:v>
                </c:pt>
                <c:pt idx="1647">
                  <c:v>17</c:v>
                </c:pt>
                <c:pt idx="1648">
                  <c:v>16.34</c:v>
                </c:pt>
                <c:pt idx="1649">
                  <c:v>15.57</c:v>
                </c:pt>
                <c:pt idx="1650">
                  <c:v>17.36</c:v>
                </c:pt>
                <c:pt idx="1651">
                  <c:v>17.670000000000002</c:v>
                </c:pt>
                <c:pt idx="1652">
                  <c:v>17.84</c:v>
                </c:pt>
                <c:pt idx="1653">
                  <c:v>18.59</c:v>
                </c:pt>
                <c:pt idx="1654">
                  <c:v>19.48</c:v>
                </c:pt>
                <c:pt idx="1655">
                  <c:v>19.47</c:v>
                </c:pt>
                <c:pt idx="1656">
                  <c:v>22.72</c:v>
                </c:pt>
                <c:pt idx="1657">
                  <c:v>18.02</c:v>
                </c:pt>
                <c:pt idx="1658">
                  <c:v>14.68</c:v>
                </c:pt>
                <c:pt idx="1659">
                  <c:v>14.56</c:v>
                </c:pt>
                <c:pt idx="1660">
                  <c:v>13.83</c:v>
                </c:pt>
                <c:pt idx="1661">
                  <c:v>13.79</c:v>
                </c:pt>
                <c:pt idx="1662">
                  <c:v>13.62</c:v>
                </c:pt>
                <c:pt idx="1663">
                  <c:v>13.81</c:v>
                </c:pt>
                <c:pt idx="1664">
                  <c:v>13.49</c:v>
                </c:pt>
                <c:pt idx="1665">
                  <c:v>13.36</c:v>
                </c:pt>
                <c:pt idx="1666">
                  <c:v>13.52</c:v>
                </c:pt>
                <c:pt idx="1667">
                  <c:v>13.55</c:v>
                </c:pt>
                <c:pt idx="1668">
                  <c:v>13.42</c:v>
                </c:pt>
                <c:pt idx="1669">
                  <c:v>13.57</c:v>
                </c:pt>
                <c:pt idx="1670">
                  <c:v>12.46</c:v>
                </c:pt>
                <c:pt idx="1671">
                  <c:v>12.43</c:v>
                </c:pt>
                <c:pt idx="1672">
                  <c:v>12.46</c:v>
                </c:pt>
                <c:pt idx="1673">
                  <c:v>12.69</c:v>
                </c:pt>
                <c:pt idx="1674">
                  <c:v>12.89</c:v>
                </c:pt>
                <c:pt idx="1675">
                  <c:v>13.57</c:v>
                </c:pt>
                <c:pt idx="1676">
                  <c:v>13.31</c:v>
                </c:pt>
                <c:pt idx="1677">
                  <c:v>14.32</c:v>
                </c:pt>
                <c:pt idx="1678">
                  <c:v>14.28</c:v>
                </c:pt>
                <c:pt idx="1679">
                  <c:v>12.9</c:v>
                </c:pt>
                <c:pt idx="1680">
                  <c:v>14.67</c:v>
                </c:pt>
                <c:pt idx="1681">
                  <c:v>13.72</c:v>
                </c:pt>
                <c:pt idx="1682">
                  <c:v>13.41</c:v>
                </c:pt>
                <c:pt idx="1683">
                  <c:v>13.5</c:v>
                </c:pt>
                <c:pt idx="1684">
                  <c:v>13.02</c:v>
                </c:pt>
                <c:pt idx="1685">
                  <c:v>12.94</c:v>
                </c:pt>
                <c:pt idx="1686">
                  <c:v>12.64</c:v>
                </c:pt>
                <c:pt idx="1687">
                  <c:v>12.98</c:v>
                </c:pt>
                <c:pt idx="1688">
                  <c:v>12.66</c:v>
                </c:pt>
                <c:pt idx="1689">
                  <c:v>12.46</c:v>
                </c:pt>
                <c:pt idx="1690">
                  <c:v>12.31</c:v>
                </c:pt>
                <c:pt idx="1691">
                  <c:v>14.68</c:v>
                </c:pt>
                <c:pt idx="1692">
                  <c:v>15.22</c:v>
                </c:pt>
                <c:pt idx="1693">
                  <c:v>14.17</c:v>
                </c:pt>
                <c:pt idx="1694">
                  <c:v>18.989999999999998</c:v>
                </c:pt>
                <c:pt idx="1695">
                  <c:v>16.87</c:v>
                </c:pt>
                <c:pt idx="1696">
                  <c:v>14.73</c:v>
                </c:pt>
                <c:pt idx="1697">
                  <c:v>15.51</c:v>
                </c:pt>
                <c:pt idx="1698">
                  <c:v>15.36</c:v>
                </c:pt>
                <c:pt idx="1699">
                  <c:v>14.01</c:v>
                </c:pt>
                <c:pt idx="1700">
                  <c:v>13.48</c:v>
                </c:pt>
                <c:pt idx="1701">
                  <c:v>13.53</c:v>
                </c:pt>
                <c:pt idx="1702">
                  <c:v>13.06</c:v>
                </c:pt>
                <c:pt idx="1703">
                  <c:v>12.59</c:v>
                </c:pt>
                <c:pt idx="1704">
                  <c:v>11.56</c:v>
                </c:pt>
                <c:pt idx="1705">
                  <c:v>12.27</c:v>
                </c:pt>
                <c:pt idx="1706">
                  <c:v>11.83</c:v>
                </c:pt>
                <c:pt idx="1707">
                  <c:v>11.3</c:v>
                </c:pt>
                <c:pt idx="1708">
                  <c:v>11.3</c:v>
                </c:pt>
                <c:pt idx="1709">
                  <c:v>13.36</c:v>
                </c:pt>
                <c:pt idx="1710">
                  <c:v>14.39</c:v>
                </c:pt>
                <c:pt idx="1711">
                  <c:v>12.67</c:v>
                </c:pt>
                <c:pt idx="1712">
                  <c:v>13.99</c:v>
                </c:pt>
                <c:pt idx="1713">
                  <c:v>13.57</c:v>
                </c:pt>
                <c:pt idx="1714">
                  <c:v>13.74</c:v>
                </c:pt>
                <c:pt idx="1715">
                  <c:v>12.77</c:v>
                </c:pt>
                <c:pt idx="1716">
                  <c:v>13.15</c:v>
                </c:pt>
                <c:pt idx="1717">
                  <c:v>12.7</c:v>
                </c:pt>
                <c:pt idx="1718">
                  <c:v>13.58</c:v>
                </c:pt>
                <c:pt idx="1719">
                  <c:v>12.78</c:v>
                </c:pt>
                <c:pt idx="1720">
                  <c:v>14.21</c:v>
                </c:pt>
                <c:pt idx="1721">
                  <c:v>13.89</c:v>
                </c:pt>
                <c:pt idx="1722">
                  <c:v>13.92</c:v>
                </c:pt>
                <c:pt idx="1723">
                  <c:v>13.19</c:v>
                </c:pt>
                <c:pt idx="1724">
                  <c:v>12.84</c:v>
                </c:pt>
                <c:pt idx="1725">
                  <c:v>12.36</c:v>
                </c:pt>
                <c:pt idx="1726">
                  <c:v>12.24</c:v>
                </c:pt>
                <c:pt idx="1727">
                  <c:v>12.06</c:v>
                </c:pt>
                <c:pt idx="1728">
                  <c:v>17.27</c:v>
                </c:pt>
                <c:pt idx="1729">
                  <c:v>13.96</c:v>
                </c:pt>
                <c:pt idx="1730">
                  <c:v>16.510000000000002</c:v>
                </c:pt>
                <c:pt idx="1731">
                  <c:v>17.559999999999999</c:v>
                </c:pt>
                <c:pt idx="1732">
                  <c:v>14.97</c:v>
                </c:pt>
                <c:pt idx="1733">
                  <c:v>14.39</c:v>
                </c:pt>
                <c:pt idx="1734">
                  <c:v>13.48</c:v>
                </c:pt>
                <c:pt idx="1735">
                  <c:v>13.61</c:v>
                </c:pt>
                <c:pt idx="1736">
                  <c:v>13.62</c:v>
                </c:pt>
                <c:pt idx="1737">
                  <c:v>13.61</c:v>
                </c:pt>
                <c:pt idx="1738">
                  <c:v>13.71</c:v>
                </c:pt>
                <c:pt idx="1739">
                  <c:v>13.52</c:v>
                </c:pt>
                <c:pt idx="1740">
                  <c:v>14.49</c:v>
                </c:pt>
                <c:pt idx="1741">
                  <c:v>13.59</c:v>
                </c:pt>
                <c:pt idx="1742">
                  <c:v>12.85</c:v>
                </c:pt>
                <c:pt idx="1743">
                  <c:v>12.66</c:v>
                </c:pt>
                <c:pt idx="1744">
                  <c:v>12.83</c:v>
                </c:pt>
                <c:pt idx="1745">
                  <c:v>12.66</c:v>
                </c:pt>
                <c:pt idx="1746">
                  <c:v>13.13</c:v>
                </c:pt>
                <c:pt idx="1747">
                  <c:v>12.59</c:v>
                </c:pt>
                <c:pt idx="1748">
                  <c:v>12.55</c:v>
                </c:pt>
                <c:pt idx="1749">
                  <c:v>12.77</c:v>
                </c:pt>
                <c:pt idx="1750">
                  <c:v>12.81</c:v>
                </c:pt>
                <c:pt idx="1751">
                  <c:v>13.07</c:v>
                </c:pt>
                <c:pt idx="1752">
                  <c:v>12.45</c:v>
                </c:pt>
                <c:pt idx="1753">
                  <c:v>13.02</c:v>
                </c:pt>
                <c:pt idx="1754">
                  <c:v>13.37</c:v>
                </c:pt>
                <c:pt idx="1755">
                  <c:v>13.82</c:v>
                </c:pt>
                <c:pt idx="1756">
                  <c:v>14.07</c:v>
                </c:pt>
                <c:pt idx="1757">
                  <c:v>13.99</c:v>
                </c:pt>
                <c:pt idx="1758">
                  <c:v>14.48</c:v>
                </c:pt>
                <c:pt idx="1759">
                  <c:v>14.83</c:v>
                </c:pt>
                <c:pt idx="1760">
                  <c:v>14.53</c:v>
                </c:pt>
                <c:pt idx="1761">
                  <c:v>16.3</c:v>
                </c:pt>
                <c:pt idx="1762">
                  <c:v>16.28</c:v>
                </c:pt>
                <c:pt idx="1763">
                  <c:v>16.27</c:v>
                </c:pt>
                <c:pt idx="1764">
                  <c:v>17.5</c:v>
                </c:pt>
                <c:pt idx="1765">
                  <c:v>16.63</c:v>
                </c:pt>
                <c:pt idx="1766">
                  <c:v>15.14</c:v>
                </c:pt>
                <c:pt idx="1767">
                  <c:v>15.44</c:v>
                </c:pt>
                <c:pt idx="1768">
                  <c:v>17.07</c:v>
                </c:pt>
                <c:pt idx="1769">
                  <c:v>18.59</c:v>
                </c:pt>
                <c:pt idx="1770">
                  <c:v>16.41</c:v>
                </c:pt>
                <c:pt idx="1771">
                  <c:v>17.149999999999999</c:v>
                </c:pt>
                <c:pt idx="1772">
                  <c:v>16.8</c:v>
                </c:pt>
                <c:pt idx="1773">
                  <c:v>16.61</c:v>
                </c:pt>
                <c:pt idx="1774">
                  <c:v>16.64</c:v>
                </c:pt>
                <c:pt idx="1775">
                  <c:v>20.49</c:v>
                </c:pt>
                <c:pt idx="1776">
                  <c:v>18.899999999999999</c:v>
                </c:pt>
                <c:pt idx="1777">
                  <c:v>20.11</c:v>
                </c:pt>
                <c:pt idx="1778">
                  <c:v>18.47</c:v>
                </c:pt>
                <c:pt idx="1779">
                  <c:v>17.21</c:v>
                </c:pt>
                <c:pt idx="1780">
                  <c:v>16.86</c:v>
                </c:pt>
                <c:pt idx="1781">
                  <c:v>16.86</c:v>
                </c:pt>
                <c:pt idx="1782">
                  <c:v>16.37</c:v>
                </c:pt>
                <c:pt idx="1783">
                  <c:v>16.440000000000001</c:v>
                </c:pt>
                <c:pt idx="1784">
                  <c:v>16.2</c:v>
                </c:pt>
                <c:pt idx="1785">
                  <c:v>14.89</c:v>
                </c:pt>
                <c:pt idx="1786">
                  <c:v>14.78</c:v>
                </c:pt>
                <c:pt idx="1787">
                  <c:v>14.35</c:v>
                </c:pt>
                <c:pt idx="1788">
                  <c:v>14.21</c:v>
                </c:pt>
                <c:pt idx="1789">
                  <c:v>14.01</c:v>
                </c:pt>
                <c:pt idx="1790">
                  <c:v>13.84</c:v>
                </c:pt>
                <c:pt idx="1791">
                  <c:v>13.79</c:v>
                </c:pt>
                <c:pt idx="1792">
                  <c:v>14.42</c:v>
                </c:pt>
                <c:pt idx="1793">
                  <c:v>13.78</c:v>
                </c:pt>
                <c:pt idx="1794">
                  <c:v>13.77</c:v>
                </c:pt>
                <c:pt idx="1795">
                  <c:v>12.54</c:v>
                </c:pt>
                <c:pt idx="1796">
                  <c:v>12.29</c:v>
                </c:pt>
                <c:pt idx="1797">
                  <c:v>12.66</c:v>
                </c:pt>
                <c:pt idx="1798">
                  <c:v>13.18</c:v>
                </c:pt>
                <c:pt idx="1799">
                  <c:v>12.97</c:v>
                </c:pt>
                <c:pt idx="1800">
                  <c:v>12.72</c:v>
                </c:pt>
                <c:pt idx="1801">
                  <c:v>13.39</c:v>
                </c:pt>
                <c:pt idx="1802">
                  <c:v>13.39</c:v>
                </c:pt>
                <c:pt idx="1803">
                  <c:v>13.45</c:v>
                </c:pt>
                <c:pt idx="1804">
                  <c:v>12.94</c:v>
                </c:pt>
                <c:pt idx="1805">
                  <c:v>11.98</c:v>
                </c:pt>
                <c:pt idx="1806">
                  <c:v>11.84</c:v>
                </c:pt>
                <c:pt idx="1807">
                  <c:v>12.72</c:v>
                </c:pt>
                <c:pt idx="1808">
                  <c:v>12.98</c:v>
                </c:pt>
                <c:pt idx="1809">
                  <c:v>12.73</c:v>
                </c:pt>
                <c:pt idx="1810">
                  <c:v>13.41</c:v>
                </c:pt>
                <c:pt idx="1811">
                  <c:v>12.81</c:v>
                </c:pt>
                <c:pt idx="1812">
                  <c:v>12.31</c:v>
                </c:pt>
                <c:pt idx="1813">
                  <c:v>13.04</c:v>
                </c:pt>
                <c:pt idx="1814">
                  <c:v>14.73</c:v>
                </c:pt>
                <c:pt idx="1815">
                  <c:v>14.37</c:v>
                </c:pt>
                <c:pt idx="1816">
                  <c:v>15.1</c:v>
                </c:pt>
                <c:pt idx="1817">
                  <c:v>14.91</c:v>
                </c:pt>
                <c:pt idx="1818">
                  <c:v>15.94</c:v>
                </c:pt>
                <c:pt idx="1819">
                  <c:v>14.76</c:v>
                </c:pt>
                <c:pt idx="1820">
                  <c:v>13.98</c:v>
                </c:pt>
                <c:pt idx="1821">
                  <c:v>14.99</c:v>
                </c:pt>
                <c:pt idx="1822">
                  <c:v>16.77</c:v>
                </c:pt>
                <c:pt idx="1823">
                  <c:v>16.489999999999998</c:v>
                </c:pt>
                <c:pt idx="1824">
                  <c:v>16.809999999999999</c:v>
                </c:pt>
                <c:pt idx="1825">
                  <c:v>17.010000000000002</c:v>
                </c:pt>
                <c:pt idx="1826">
                  <c:v>16.61</c:v>
                </c:pt>
                <c:pt idx="1827">
                  <c:v>15.88</c:v>
                </c:pt>
                <c:pt idx="1828">
                  <c:v>15.77</c:v>
                </c:pt>
                <c:pt idx="1829">
                  <c:v>15.85</c:v>
                </c:pt>
                <c:pt idx="1830">
                  <c:v>15.63</c:v>
                </c:pt>
                <c:pt idx="1831">
                  <c:v>14.53</c:v>
                </c:pt>
                <c:pt idx="1832">
                  <c:v>13.82</c:v>
                </c:pt>
                <c:pt idx="1833">
                  <c:v>14.29</c:v>
                </c:pt>
                <c:pt idx="1834">
                  <c:v>14.16</c:v>
                </c:pt>
                <c:pt idx="1835">
                  <c:v>14.38</c:v>
                </c:pt>
                <c:pt idx="1836">
                  <c:v>14.53</c:v>
                </c:pt>
                <c:pt idx="1837">
                  <c:v>13.59</c:v>
                </c:pt>
                <c:pt idx="1838">
                  <c:v>13.16</c:v>
                </c:pt>
                <c:pt idx="1839">
                  <c:v>13.12</c:v>
                </c:pt>
                <c:pt idx="1840">
                  <c:v>14.31</c:v>
                </c:pt>
                <c:pt idx="1841">
                  <c:v>14.08</c:v>
                </c:pt>
                <c:pt idx="1842">
                  <c:v>14.01</c:v>
                </c:pt>
                <c:pt idx="1843">
                  <c:v>14.06</c:v>
                </c:pt>
                <c:pt idx="1844">
                  <c:v>15.46</c:v>
                </c:pt>
                <c:pt idx="1845">
                  <c:v>16.600000000000001</c:v>
                </c:pt>
                <c:pt idx="1846">
                  <c:v>15.54</c:v>
                </c:pt>
                <c:pt idx="1847">
                  <c:v>16.600000000000001</c:v>
                </c:pt>
                <c:pt idx="1848">
                  <c:v>17.670000000000002</c:v>
                </c:pt>
                <c:pt idx="1849">
                  <c:v>16.739999999999998</c:v>
                </c:pt>
                <c:pt idx="1850">
                  <c:v>19.41</c:v>
                </c:pt>
                <c:pt idx="1851">
                  <c:v>20.34</c:v>
                </c:pt>
                <c:pt idx="1852">
                  <c:v>19.600000000000001</c:v>
                </c:pt>
                <c:pt idx="1853">
                  <c:v>16.48</c:v>
                </c:pt>
                <c:pt idx="1854">
                  <c:v>15.72</c:v>
                </c:pt>
                <c:pt idx="1855">
                  <c:v>16.07</c:v>
                </c:pt>
                <c:pt idx="1856">
                  <c:v>18.66</c:v>
                </c:pt>
                <c:pt idx="1857">
                  <c:v>14.71</c:v>
                </c:pt>
                <c:pt idx="1858">
                  <c:v>13.48</c:v>
                </c:pt>
                <c:pt idx="1859">
                  <c:v>13.04</c:v>
                </c:pt>
                <c:pt idx="1860">
                  <c:v>13.16</c:v>
                </c:pt>
                <c:pt idx="1861">
                  <c:v>13.33</c:v>
                </c:pt>
                <c:pt idx="1862">
                  <c:v>13.42</c:v>
                </c:pt>
                <c:pt idx="1863">
                  <c:v>13.2</c:v>
                </c:pt>
                <c:pt idx="1864">
                  <c:v>13.09</c:v>
                </c:pt>
                <c:pt idx="1865">
                  <c:v>13.31</c:v>
                </c:pt>
                <c:pt idx="1866">
                  <c:v>13.41</c:v>
                </c:pt>
                <c:pt idx="1867">
                  <c:v>13.65</c:v>
                </c:pt>
                <c:pt idx="1868">
                  <c:v>13.75</c:v>
                </c:pt>
                <c:pt idx="1869">
                  <c:v>13.28</c:v>
                </c:pt>
                <c:pt idx="1870">
                  <c:v>12.93</c:v>
                </c:pt>
                <c:pt idx="1871">
                  <c:v>13.27</c:v>
                </c:pt>
                <c:pt idx="1872">
                  <c:v>12.67</c:v>
                </c:pt>
                <c:pt idx="1873">
                  <c:v>13.91</c:v>
                </c:pt>
                <c:pt idx="1874">
                  <c:v>12.9</c:v>
                </c:pt>
                <c:pt idx="1875">
                  <c:v>12.53</c:v>
                </c:pt>
                <c:pt idx="1876">
                  <c:v>12.82</c:v>
                </c:pt>
                <c:pt idx="1877">
                  <c:v>12.52</c:v>
                </c:pt>
                <c:pt idx="1878">
                  <c:v>12.37</c:v>
                </c:pt>
                <c:pt idx="1879">
                  <c:v>12.19</c:v>
                </c:pt>
                <c:pt idx="1880">
                  <c:v>13.1</c:v>
                </c:pt>
                <c:pt idx="1881">
                  <c:v>13.39</c:v>
                </c:pt>
                <c:pt idx="1882">
                  <c:v>13.4</c:v>
                </c:pt>
                <c:pt idx="1883">
                  <c:v>12.66</c:v>
                </c:pt>
                <c:pt idx="1884">
                  <c:v>12.26</c:v>
                </c:pt>
                <c:pt idx="1885">
                  <c:v>12.79</c:v>
                </c:pt>
                <c:pt idx="1886">
                  <c:v>12.81</c:v>
                </c:pt>
                <c:pt idx="1887">
                  <c:v>12.98</c:v>
                </c:pt>
                <c:pt idx="1888">
                  <c:v>13.7</c:v>
                </c:pt>
                <c:pt idx="1889">
                  <c:v>14.23</c:v>
                </c:pt>
                <c:pt idx="1890">
                  <c:v>14.55</c:v>
                </c:pt>
                <c:pt idx="1891">
                  <c:v>14.7</c:v>
                </c:pt>
                <c:pt idx="1892">
                  <c:v>15.08</c:v>
                </c:pt>
                <c:pt idx="1893">
                  <c:v>13.79</c:v>
                </c:pt>
                <c:pt idx="1894">
                  <c:v>13.49</c:v>
                </c:pt>
                <c:pt idx="1895">
                  <c:v>13.91</c:v>
                </c:pt>
                <c:pt idx="1896">
                  <c:v>15.42</c:v>
                </c:pt>
                <c:pt idx="1897">
                  <c:v>15.54</c:v>
                </c:pt>
                <c:pt idx="1898">
                  <c:v>15.76</c:v>
                </c:pt>
                <c:pt idx="1899">
                  <c:v>16.03</c:v>
                </c:pt>
                <c:pt idx="1900">
                  <c:v>16.21</c:v>
                </c:pt>
                <c:pt idx="1901">
                  <c:v>13.8</c:v>
                </c:pt>
                <c:pt idx="1902">
                  <c:v>14.15</c:v>
                </c:pt>
                <c:pt idx="1903">
                  <c:v>13.79</c:v>
                </c:pt>
                <c:pt idx="1904">
                  <c:v>13.04</c:v>
                </c:pt>
                <c:pt idx="1905">
                  <c:v>12.48</c:v>
                </c:pt>
                <c:pt idx="1906">
                  <c:v>12.33</c:v>
                </c:pt>
                <c:pt idx="1907">
                  <c:v>12.46</c:v>
                </c:pt>
                <c:pt idx="1908">
                  <c:v>13.56</c:v>
                </c:pt>
                <c:pt idx="1909">
                  <c:v>13.72</c:v>
                </c:pt>
                <c:pt idx="1910">
                  <c:v>14.23</c:v>
                </c:pt>
                <c:pt idx="1911">
                  <c:v>13.76</c:v>
                </c:pt>
                <c:pt idx="1912">
                  <c:v>13.55</c:v>
                </c:pt>
                <c:pt idx="1913">
                  <c:v>12.92</c:v>
                </c:pt>
                <c:pt idx="1914">
                  <c:v>12.87</c:v>
                </c:pt>
                <c:pt idx="1915">
                  <c:v>12.89</c:v>
                </c:pt>
                <c:pt idx="1916">
                  <c:v>12.14</c:v>
                </c:pt>
                <c:pt idx="1917">
                  <c:v>13.28</c:v>
                </c:pt>
                <c:pt idx="1918">
                  <c:v>12.28</c:v>
                </c:pt>
                <c:pt idx="1919">
                  <c:v>12.28</c:v>
                </c:pt>
                <c:pt idx="1920">
                  <c:v>12.53</c:v>
                </c:pt>
                <c:pt idx="1921">
                  <c:v>12.44</c:v>
                </c:pt>
                <c:pt idx="1922">
                  <c:v>12.87</c:v>
                </c:pt>
                <c:pt idx="1923">
                  <c:v>12.84</c:v>
                </c:pt>
                <c:pt idx="1924">
                  <c:v>13.77</c:v>
                </c:pt>
                <c:pt idx="1925">
                  <c:v>18.14</c:v>
                </c:pt>
                <c:pt idx="1926">
                  <c:v>17.420000000000002</c:v>
                </c:pt>
                <c:pt idx="1927">
                  <c:v>15.8</c:v>
                </c:pt>
                <c:pt idx="1928">
                  <c:v>17.350000000000001</c:v>
                </c:pt>
                <c:pt idx="1929">
                  <c:v>17.29</c:v>
                </c:pt>
                <c:pt idx="1930">
                  <c:v>18.41</c:v>
                </c:pt>
                <c:pt idx="1931">
                  <c:v>21.44</c:v>
                </c:pt>
                <c:pt idx="1932">
                  <c:v>19.11</c:v>
                </c:pt>
                <c:pt idx="1933">
                  <c:v>19.95</c:v>
                </c:pt>
                <c:pt idx="1934">
                  <c:v>17.23</c:v>
                </c:pt>
                <c:pt idx="1935">
                  <c:v>15.29</c:v>
                </c:pt>
                <c:pt idx="1936">
                  <c:v>15.26</c:v>
                </c:pt>
                <c:pt idx="1937">
                  <c:v>14.51</c:v>
                </c:pt>
                <c:pt idx="1938">
                  <c:v>14.3</c:v>
                </c:pt>
                <c:pt idx="1939">
                  <c:v>14.14</c:v>
                </c:pt>
                <c:pt idx="1940">
                  <c:v>13.57</c:v>
                </c:pt>
                <c:pt idx="1941">
                  <c:v>13.87</c:v>
                </c:pt>
                <c:pt idx="1942">
                  <c:v>15.5</c:v>
                </c:pt>
                <c:pt idx="1943">
                  <c:v>14.79</c:v>
                </c:pt>
                <c:pt idx="1944">
                  <c:v>14.68</c:v>
                </c:pt>
                <c:pt idx="1945">
                  <c:v>14.23</c:v>
                </c:pt>
                <c:pt idx="1946">
                  <c:v>13.67</c:v>
                </c:pt>
                <c:pt idx="1947">
                  <c:v>14.35</c:v>
                </c:pt>
                <c:pt idx="1948">
                  <c:v>14.04</c:v>
                </c:pt>
                <c:pt idx="1949">
                  <c:v>14</c:v>
                </c:pt>
                <c:pt idx="1950">
                  <c:v>16</c:v>
                </c:pt>
                <c:pt idx="1951">
                  <c:v>14.1</c:v>
                </c:pt>
                <c:pt idx="1952">
                  <c:v>13.89</c:v>
                </c:pt>
                <c:pt idx="1953">
                  <c:v>14.21</c:v>
                </c:pt>
                <c:pt idx="1954">
                  <c:v>14.11</c:v>
                </c:pt>
                <c:pt idx="1955">
                  <c:v>14.2</c:v>
                </c:pt>
                <c:pt idx="1956">
                  <c:v>14.8</c:v>
                </c:pt>
                <c:pt idx="1957">
                  <c:v>14.47</c:v>
                </c:pt>
                <c:pt idx="1958">
                  <c:v>16.22</c:v>
                </c:pt>
                <c:pt idx="1959">
                  <c:v>17.82</c:v>
                </c:pt>
                <c:pt idx="1960">
                  <c:v>15.64</c:v>
                </c:pt>
                <c:pt idx="1961">
                  <c:v>14.52</c:v>
                </c:pt>
                <c:pt idx="1962">
                  <c:v>15.12</c:v>
                </c:pt>
                <c:pt idx="1963">
                  <c:v>14.52</c:v>
                </c:pt>
                <c:pt idx="1964">
                  <c:v>15</c:v>
                </c:pt>
                <c:pt idx="1965">
                  <c:v>15.09</c:v>
                </c:pt>
                <c:pt idx="1966">
                  <c:v>14.02</c:v>
                </c:pt>
                <c:pt idx="1967">
                  <c:v>14.93</c:v>
                </c:pt>
                <c:pt idx="1968">
                  <c:v>14.62</c:v>
                </c:pt>
                <c:pt idx="1969">
                  <c:v>14.41</c:v>
                </c:pt>
                <c:pt idx="1970">
                  <c:v>13.88</c:v>
                </c:pt>
                <c:pt idx="1971">
                  <c:v>13.1</c:v>
                </c:pt>
                <c:pt idx="1972">
                  <c:v>13.09</c:v>
                </c:pt>
                <c:pt idx="1973">
                  <c:v>13.37</c:v>
                </c:pt>
                <c:pt idx="1974">
                  <c:v>13.96</c:v>
                </c:pt>
                <c:pt idx="1975">
                  <c:v>15.57</c:v>
                </c:pt>
                <c:pt idx="1976">
                  <c:v>14.89</c:v>
                </c:pt>
                <c:pt idx="1977">
                  <c:v>13.82</c:v>
                </c:pt>
                <c:pt idx="1978">
                  <c:v>15.89</c:v>
                </c:pt>
                <c:pt idx="1979">
                  <c:v>17.03</c:v>
                </c:pt>
                <c:pt idx="1980">
                  <c:v>16.11</c:v>
                </c:pt>
                <c:pt idx="1981">
                  <c:v>15.61</c:v>
                </c:pt>
                <c:pt idx="1982">
                  <c:v>14.18</c:v>
                </c:pt>
                <c:pt idx="1983">
                  <c:v>13.36</c:v>
                </c:pt>
                <c:pt idx="1984">
                  <c:v>13.25</c:v>
                </c:pt>
                <c:pt idx="1985">
                  <c:v>13.19</c:v>
                </c:pt>
                <c:pt idx="1986">
                  <c:v>13.27</c:v>
                </c:pt>
                <c:pt idx="1987">
                  <c:v>13.32</c:v>
                </c:pt>
                <c:pt idx="1988">
                  <c:v>14.06</c:v>
                </c:pt>
                <c:pt idx="1989">
                  <c:v>13.97</c:v>
                </c:pt>
                <c:pt idx="1990">
                  <c:v>13.71</c:v>
                </c:pt>
                <c:pt idx="1991">
                  <c:v>13.41</c:v>
                </c:pt>
                <c:pt idx="1992">
                  <c:v>13.25</c:v>
                </c:pt>
                <c:pt idx="1993">
                  <c:v>12.91</c:v>
                </c:pt>
                <c:pt idx="1994">
                  <c:v>13.29</c:v>
                </c:pt>
                <c:pt idx="1995">
                  <c:v>13.8</c:v>
                </c:pt>
                <c:pt idx="1996">
                  <c:v>13.4</c:v>
                </c:pt>
                <c:pt idx="1997">
                  <c:v>13.43</c:v>
                </c:pt>
                <c:pt idx="1998">
                  <c:v>12.92</c:v>
                </c:pt>
                <c:pt idx="1999">
                  <c:v>12.23</c:v>
                </c:pt>
                <c:pt idx="2000">
                  <c:v>12.13</c:v>
                </c:pt>
                <c:pt idx="2001">
                  <c:v>12.17</c:v>
                </c:pt>
                <c:pt idx="2002">
                  <c:v>13.17</c:v>
                </c:pt>
                <c:pt idx="2003">
                  <c:v>12.44</c:v>
                </c:pt>
                <c:pt idx="2004">
                  <c:v>12.42</c:v>
                </c:pt>
                <c:pt idx="2005">
                  <c:v>12.96</c:v>
                </c:pt>
                <c:pt idx="2006">
                  <c:v>11.91</c:v>
                </c:pt>
                <c:pt idx="2007">
                  <c:v>12.03</c:v>
                </c:pt>
                <c:pt idx="2008">
                  <c:v>11.36</c:v>
                </c:pt>
                <c:pt idx="2009">
                  <c:v>11.51</c:v>
                </c:pt>
                <c:pt idx="2010">
                  <c:v>11.68</c:v>
                </c:pt>
                <c:pt idx="2011">
                  <c:v>11.57</c:v>
                </c:pt>
                <c:pt idx="2012">
                  <c:v>11.4</c:v>
                </c:pt>
                <c:pt idx="2013">
                  <c:v>11.58</c:v>
                </c:pt>
                <c:pt idx="2014">
                  <c:v>11.87</c:v>
                </c:pt>
                <c:pt idx="2015">
                  <c:v>12.08</c:v>
                </c:pt>
                <c:pt idx="2016">
                  <c:v>11.68</c:v>
                </c:pt>
                <c:pt idx="2017">
                  <c:v>10.73</c:v>
                </c:pt>
                <c:pt idx="2018">
                  <c:v>11.15</c:v>
                </c:pt>
                <c:pt idx="2019">
                  <c:v>10.99</c:v>
                </c:pt>
                <c:pt idx="2020">
                  <c:v>11.6</c:v>
                </c:pt>
                <c:pt idx="2021">
                  <c:v>12.56</c:v>
                </c:pt>
                <c:pt idx="2022">
                  <c:v>12.18</c:v>
                </c:pt>
                <c:pt idx="2023">
                  <c:v>12.65</c:v>
                </c:pt>
                <c:pt idx="2024">
                  <c:v>12.06</c:v>
                </c:pt>
                <c:pt idx="2025">
                  <c:v>10.61</c:v>
                </c:pt>
                <c:pt idx="2026">
                  <c:v>10.62</c:v>
                </c:pt>
                <c:pt idx="2027">
                  <c:v>10.85</c:v>
                </c:pt>
                <c:pt idx="2028">
                  <c:v>10.98</c:v>
                </c:pt>
                <c:pt idx="2029">
                  <c:v>12.13</c:v>
                </c:pt>
                <c:pt idx="2030">
                  <c:v>11.59</c:v>
                </c:pt>
                <c:pt idx="2031">
                  <c:v>11.63</c:v>
                </c:pt>
                <c:pt idx="2032">
                  <c:v>11.26</c:v>
                </c:pt>
                <c:pt idx="2033">
                  <c:v>11.57</c:v>
                </c:pt>
                <c:pt idx="2034">
                  <c:v>11.15</c:v>
                </c:pt>
                <c:pt idx="2035">
                  <c:v>10.82</c:v>
                </c:pt>
                <c:pt idx="2036">
                  <c:v>10.32</c:v>
                </c:pt>
                <c:pt idx="2037">
                  <c:v>11.33</c:v>
                </c:pt>
                <c:pt idx="2038">
                  <c:v>11.98</c:v>
                </c:pt>
                <c:pt idx="2039">
                  <c:v>11.65</c:v>
                </c:pt>
                <c:pt idx="2040">
                  <c:v>12.59</c:v>
                </c:pt>
                <c:pt idx="2041">
                  <c:v>12.08</c:v>
                </c:pt>
                <c:pt idx="2042">
                  <c:v>11.82</c:v>
                </c:pt>
                <c:pt idx="2043">
                  <c:v>11.96</c:v>
                </c:pt>
                <c:pt idx="2044">
                  <c:v>11</c:v>
                </c:pt>
                <c:pt idx="2045">
                  <c:v>14.54</c:v>
                </c:pt>
                <c:pt idx="2046">
                  <c:v>12.06</c:v>
                </c:pt>
                <c:pt idx="2047">
                  <c:v>12.81</c:v>
                </c:pt>
                <c:pt idx="2048">
                  <c:v>12.24</c:v>
                </c:pt>
                <c:pt idx="2049">
                  <c:v>11.52</c:v>
                </c:pt>
                <c:pt idx="2050">
                  <c:v>11.84</c:v>
                </c:pt>
                <c:pt idx="2051">
                  <c:v>12.69</c:v>
                </c:pt>
                <c:pt idx="2052">
                  <c:v>12.56</c:v>
                </c:pt>
                <c:pt idx="2053">
                  <c:v>13.28</c:v>
                </c:pt>
                <c:pt idx="2054">
                  <c:v>13.33</c:v>
                </c:pt>
                <c:pt idx="2055">
                  <c:v>16.95</c:v>
                </c:pt>
                <c:pt idx="2056">
                  <c:v>17.03</c:v>
                </c:pt>
                <c:pt idx="2057">
                  <c:v>15.12</c:v>
                </c:pt>
                <c:pt idx="2058">
                  <c:v>16.87</c:v>
                </c:pt>
                <c:pt idx="2059">
                  <c:v>16.37</c:v>
                </c:pt>
                <c:pt idx="2060">
                  <c:v>16.66</c:v>
                </c:pt>
                <c:pt idx="2061">
                  <c:v>15.77</c:v>
                </c:pt>
                <c:pt idx="2062">
                  <c:v>14.23</c:v>
                </c:pt>
                <c:pt idx="2063">
                  <c:v>14.13</c:v>
                </c:pt>
                <c:pt idx="2064">
                  <c:v>12.9</c:v>
                </c:pt>
                <c:pt idx="2065">
                  <c:v>12.42</c:v>
                </c:pt>
                <c:pt idx="2066">
                  <c:v>13.15</c:v>
                </c:pt>
                <c:pt idx="2067">
                  <c:v>12.32</c:v>
                </c:pt>
                <c:pt idx="2068">
                  <c:v>12.21</c:v>
                </c:pt>
                <c:pt idx="2069">
                  <c:v>11.78</c:v>
                </c:pt>
                <c:pt idx="2070">
                  <c:v>11.76</c:v>
                </c:pt>
                <c:pt idx="2071">
                  <c:v>11.47</c:v>
                </c:pt>
                <c:pt idx="2072">
                  <c:v>11.7</c:v>
                </c:pt>
                <c:pt idx="2073">
                  <c:v>11.63</c:v>
                </c:pt>
                <c:pt idx="2074">
                  <c:v>11.78</c:v>
                </c:pt>
                <c:pt idx="2075">
                  <c:v>12.05</c:v>
                </c:pt>
                <c:pt idx="2076">
                  <c:v>11.98</c:v>
                </c:pt>
                <c:pt idx="2077">
                  <c:v>12.25</c:v>
                </c:pt>
                <c:pt idx="2078">
                  <c:v>12.36</c:v>
                </c:pt>
                <c:pt idx="2079">
                  <c:v>12.64</c:v>
                </c:pt>
                <c:pt idx="2080">
                  <c:v>12.09</c:v>
                </c:pt>
                <c:pt idx="2081">
                  <c:v>12.66</c:v>
                </c:pt>
                <c:pt idx="2082">
                  <c:v>13.5</c:v>
                </c:pt>
                <c:pt idx="2083">
                  <c:v>12.88</c:v>
                </c:pt>
                <c:pt idx="2084">
                  <c:v>12.8</c:v>
                </c:pt>
                <c:pt idx="2085">
                  <c:v>13.31</c:v>
                </c:pt>
                <c:pt idx="2086">
                  <c:v>14.12</c:v>
                </c:pt>
                <c:pt idx="2087">
                  <c:v>12.73</c:v>
                </c:pt>
                <c:pt idx="2088">
                  <c:v>12.65</c:v>
                </c:pt>
                <c:pt idx="2089">
                  <c:v>12.03</c:v>
                </c:pt>
                <c:pt idx="2090">
                  <c:v>12.11</c:v>
                </c:pt>
                <c:pt idx="2091">
                  <c:v>13.69</c:v>
                </c:pt>
                <c:pt idx="2092">
                  <c:v>14.93</c:v>
                </c:pt>
                <c:pt idx="2093">
                  <c:v>13.27</c:v>
                </c:pt>
                <c:pt idx="2094">
                  <c:v>15.64</c:v>
                </c:pt>
                <c:pt idx="2095">
                  <c:v>14.85</c:v>
                </c:pt>
                <c:pt idx="2096">
                  <c:v>15.98</c:v>
                </c:pt>
                <c:pt idx="2097">
                  <c:v>16.309999999999999</c:v>
                </c:pt>
                <c:pt idx="2098">
                  <c:v>16.71</c:v>
                </c:pt>
                <c:pt idx="2099">
                  <c:v>16.16</c:v>
                </c:pt>
                <c:pt idx="2100">
                  <c:v>14.55</c:v>
                </c:pt>
                <c:pt idx="2101">
                  <c:v>15.46</c:v>
                </c:pt>
                <c:pt idx="2102">
                  <c:v>17.2</c:v>
                </c:pt>
                <c:pt idx="2103">
                  <c:v>15.11</c:v>
                </c:pt>
                <c:pt idx="2104">
                  <c:v>18.760000000000002</c:v>
                </c:pt>
                <c:pt idx="2105">
                  <c:v>21.24</c:v>
                </c:pt>
                <c:pt idx="2106">
                  <c:v>24.64</c:v>
                </c:pt>
                <c:pt idx="2107">
                  <c:v>22.79</c:v>
                </c:pt>
                <c:pt idx="2108">
                  <c:v>26.25</c:v>
                </c:pt>
                <c:pt idx="2109">
                  <c:v>25.2</c:v>
                </c:pt>
                <c:pt idx="2110">
                  <c:v>21.99</c:v>
                </c:pt>
                <c:pt idx="2111">
                  <c:v>18.57</c:v>
                </c:pt>
                <c:pt idx="2112">
                  <c:v>16.079999999999998</c:v>
                </c:pt>
                <c:pt idx="2113">
                  <c:v>17.87</c:v>
                </c:pt>
                <c:pt idx="2114">
                  <c:v>16.53</c:v>
                </c:pt>
                <c:pt idx="2115">
                  <c:v>16.11</c:v>
                </c:pt>
                <c:pt idx="2116">
                  <c:v>16.04</c:v>
                </c:pt>
                <c:pt idx="2117">
                  <c:v>14.39</c:v>
                </c:pt>
                <c:pt idx="2118">
                  <c:v>15.15</c:v>
                </c:pt>
                <c:pt idx="2119">
                  <c:v>14.52</c:v>
                </c:pt>
                <c:pt idx="2120">
                  <c:v>14.03</c:v>
                </c:pt>
                <c:pt idx="2121">
                  <c:v>14.73</c:v>
                </c:pt>
                <c:pt idx="2122">
                  <c:v>14.89</c:v>
                </c:pt>
                <c:pt idx="2123">
                  <c:v>14.17</c:v>
                </c:pt>
                <c:pt idx="2124">
                  <c:v>13.67</c:v>
                </c:pt>
                <c:pt idx="2125">
                  <c:v>13.12</c:v>
                </c:pt>
                <c:pt idx="2126">
                  <c:v>12.67</c:v>
                </c:pt>
                <c:pt idx="2127">
                  <c:v>12.92</c:v>
                </c:pt>
                <c:pt idx="2128">
                  <c:v>13.02</c:v>
                </c:pt>
                <c:pt idx="2129">
                  <c:v>13.79</c:v>
                </c:pt>
                <c:pt idx="2130">
                  <c:v>13.31</c:v>
                </c:pt>
                <c:pt idx="2131">
                  <c:v>13.99</c:v>
                </c:pt>
                <c:pt idx="2132">
                  <c:v>13.86</c:v>
                </c:pt>
                <c:pt idx="2133">
                  <c:v>13.96</c:v>
                </c:pt>
                <c:pt idx="2134">
                  <c:v>13.58</c:v>
                </c:pt>
                <c:pt idx="2135">
                  <c:v>12.9</c:v>
                </c:pt>
                <c:pt idx="2136">
                  <c:v>12.62</c:v>
                </c:pt>
                <c:pt idx="2137">
                  <c:v>12.25</c:v>
                </c:pt>
                <c:pt idx="2138">
                  <c:v>12.07</c:v>
                </c:pt>
                <c:pt idx="2139">
                  <c:v>13.33</c:v>
                </c:pt>
                <c:pt idx="2140">
                  <c:v>14.29</c:v>
                </c:pt>
                <c:pt idx="2141">
                  <c:v>12.85</c:v>
                </c:pt>
                <c:pt idx="2142">
                  <c:v>12.47</c:v>
                </c:pt>
                <c:pt idx="2143">
                  <c:v>12.38</c:v>
                </c:pt>
                <c:pt idx="2144">
                  <c:v>11.82</c:v>
                </c:pt>
                <c:pt idx="2145">
                  <c:v>14.21</c:v>
                </c:pt>
                <c:pt idx="2146">
                  <c:v>14.89</c:v>
                </c:pt>
                <c:pt idx="2147">
                  <c:v>18.53</c:v>
                </c:pt>
                <c:pt idx="2148">
                  <c:v>20.079999999999998</c:v>
                </c:pt>
                <c:pt idx="2149">
                  <c:v>21.08</c:v>
                </c:pt>
                <c:pt idx="2150">
                  <c:v>20.420000000000002</c:v>
                </c:pt>
                <c:pt idx="2151">
                  <c:v>23.57</c:v>
                </c:pt>
                <c:pt idx="2152">
                  <c:v>19.440000000000001</c:v>
                </c:pt>
                <c:pt idx="2153">
                  <c:v>16.809999999999999</c:v>
                </c:pt>
                <c:pt idx="2154">
                  <c:v>16.489999999999998</c:v>
                </c:pt>
                <c:pt idx="2155">
                  <c:v>15.25</c:v>
                </c:pt>
                <c:pt idx="2156">
                  <c:v>14.8</c:v>
                </c:pt>
                <c:pt idx="2157">
                  <c:v>14.37</c:v>
                </c:pt>
                <c:pt idx="2158">
                  <c:v>14.5</c:v>
                </c:pt>
                <c:pt idx="2159">
                  <c:v>15.06</c:v>
                </c:pt>
                <c:pt idx="2160">
                  <c:v>15.92</c:v>
                </c:pt>
                <c:pt idx="2161">
                  <c:v>19.2</c:v>
                </c:pt>
              </c:numCache>
            </c:numRef>
          </c:val>
          <c:smooth val="0"/>
        </c:ser>
        <c:ser>
          <c:idx val="1"/>
          <c:order val="1"/>
          <c:tx>
            <c:strRef>
              <c:f>Sheet1!$C$1</c:f>
              <c:strCache>
                <c:ptCount val="1"/>
                <c:pt idx="0">
                  <c:v>VVIX</c:v>
                </c:pt>
              </c:strCache>
            </c:strRef>
          </c:tx>
          <c:spPr>
            <a:ln w="19050">
              <a:prstDash val="dash"/>
            </a:ln>
          </c:spPr>
          <c:marker>
            <c:symbol val="none"/>
          </c:marker>
          <c:cat>
            <c:numRef>
              <c:f>Sheet1!$A$2:$A$2163</c:f>
              <c:numCache>
                <c:formatCode>m/d/yyyy</c:formatCode>
                <c:ptCount val="2162"/>
                <c:pt idx="0">
                  <c:v>38869</c:v>
                </c:pt>
                <c:pt idx="1">
                  <c:v>38870</c:v>
                </c:pt>
                <c:pt idx="2">
                  <c:v>38873</c:v>
                </c:pt>
                <c:pt idx="3">
                  <c:v>38874</c:v>
                </c:pt>
                <c:pt idx="4">
                  <c:v>38875</c:v>
                </c:pt>
                <c:pt idx="5">
                  <c:v>38876</c:v>
                </c:pt>
                <c:pt idx="6">
                  <c:v>38877</c:v>
                </c:pt>
                <c:pt idx="7">
                  <c:v>38880</c:v>
                </c:pt>
                <c:pt idx="8">
                  <c:v>38881</c:v>
                </c:pt>
                <c:pt idx="9">
                  <c:v>38882</c:v>
                </c:pt>
                <c:pt idx="10">
                  <c:v>38883</c:v>
                </c:pt>
                <c:pt idx="11">
                  <c:v>38884</c:v>
                </c:pt>
                <c:pt idx="12">
                  <c:v>38887</c:v>
                </c:pt>
                <c:pt idx="13">
                  <c:v>38888</c:v>
                </c:pt>
                <c:pt idx="14">
                  <c:v>38889</c:v>
                </c:pt>
                <c:pt idx="15">
                  <c:v>38890</c:v>
                </c:pt>
                <c:pt idx="16">
                  <c:v>38891</c:v>
                </c:pt>
                <c:pt idx="17">
                  <c:v>38894</c:v>
                </c:pt>
                <c:pt idx="18">
                  <c:v>38895</c:v>
                </c:pt>
                <c:pt idx="19">
                  <c:v>38896</c:v>
                </c:pt>
                <c:pt idx="20">
                  <c:v>38897</c:v>
                </c:pt>
                <c:pt idx="21">
                  <c:v>38898</c:v>
                </c:pt>
                <c:pt idx="22">
                  <c:v>38901</c:v>
                </c:pt>
                <c:pt idx="23">
                  <c:v>38903</c:v>
                </c:pt>
                <c:pt idx="24">
                  <c:v>38904</c:v>
                </c:pt>
                <c:pt idx="25">
                  <c:v>38905</c:v>
                </c:pt>
                <c:pt idx="26">
                  <c:v>38908</c:v>
                </c:pt>
                <c:pt idx="27">
                  <c:v>38909</c:v>
                </c:pt>
                <c:pt idx="28">
                  <c:v>38910</c:v>
                </c:pt>
                <c:pt idx="29">
                  <c:v>38911</c:v>
                </c:pt>
                <c:pt idx="30">
                  <c:v>38912</c:v>
                </c:pt>
                <c:pt idx="31">
                  <c:v>38915</c:v>
                </c:pt>
                <c:pt idx="32">
                  <c:v>38916</c:v>
                </c:pt>
                <c:pt idx="33">
                  <c:v>38917</c:v>
                </c:pt>
                <c:pt idx="34">
                  <c:v>38918</c:v>
                </c:pt>
                <c:pt idx="35">
                  <c:v>38919</c:v>
                </c:pt>
                <c:pt idx="36">
                  <c:v>38922</c:v>
                </c:pt>
                <c:pt idx="37">
                  <c:v>38923</c:v>
                </c:pt>
                <c:pt idx="38">
                  <c:v>38924</c:v>
                </c:pt>
                <c:pt idx="39">
                  <c:v>38925</c:v>
                </c:pt>
                <c:pt idx="40">
                  <c:v>38926</c:v>
                </c:pt>
                <c:pt idx="41">
                  <c:v>38929</c:v>
                </c:pt>
                <c:pt idx="42">
                  <c:v>38930</c:v>
                </c:pt>
                <c:pt idx="43">
                  <c:v>38931</c:v>
                </c:pt>
                <c:pt idx="44">
                  <c:v>38932</c:v>
                </c:pt>
                <c:pt idx="45">
                  <c:v>38933</c:v>
                </c:pt>
                <c:pt idx="46">
                  <c:v>38936</c:v>
                </c:pt>
                <c:pt idx="47">
                  <c:v>38937</c:v>
                </c:pt>
                <c:pt idx="48">
                  <c:v>38938</c:v>
                </c:pt>
                <c:pt idx="49">
                  <c:v>38939</c:v>
                </c:pt>
                <c:pt idx="50">
                  <c:v>38940</c:v>
                </c:pt>
                <c:pt idx="51">
                  <c:v>38943</c:v>
                </c:pt>
                <c:pt idx="52">
                  <c:v>38944</c:v>
                </c:pt>
                <c:pt idx="53">
                  <c:v>38945</c:v>
                </c:pt>
                <c:pt idx="54">
                  <c:v>38946</c:v>
                </c:pt>
                <c:pt idx="55">
                  <c:v>38947</c:v>
                </c:pt>
                <c:pt idx="56">
                  <c:v>38950</c:v>
                </c:pt>
                <c:pt idx="57">
                  <c:v>38951</c:v>
                </c:pt>
                <c:pt idx="58">
                  <c:v>38952</c:v>
                </c:pt>
                <c:pt idx="59">
                  <c:v>38953</c:v>
                </c:pt>
                <c:pt idx="60">
                  <c:v>38954</c:v>
                </c:pt>
                <c:pt idx="61">
                  <c:v>38957</c:v>
                </c:pt>
                <c:pt idx="62">
                  <c:v>38958</c:v>
                </c:pt>
                <c:pt idx="63">
                  <c:v>38959</c:v>
                </c:pt>
                <c:pt idx="64">
                  <c:v>38960</c:v>
                </c:pt>
                <c:pt idx="65">
                  <c:v>38961</c:v>
                </c:pt>
                <c:pt idx="66">
                  <c:v>38965</c:v>
                </c:pt>
                <c:pt idx="67">
                  <c:v>38966</c:v>
                </c:pt>
                <c:pt idx="68">
                  <c:v>38967</c:v>
                </c:pt>
                <c:pt idx="69">
                  <c:v>38968</c:v>
                </c:pt>
                <c:pt idx="70">
                  <c:v>38971</c:v>
                </c:pt>
                <c:pt idx="71">
                  <c:v>38972</c:v>
                </c:pt>
                <c:pt idx="72">
                  <c:v>38973</c:v>
                </c:pt>
                <c:pt idx="73">
                  <c:v>38974</c:v>
                </c:pt>
                <c:pt idx="74">
                  <c:v>38975</c:v>
                </c:pt>
                <c:pt idx="75">
                  <c:v>38978</c:v>
                </c:pt>
                <c:pt idx="76">
                  <c:v>38979</c:v>
                </c:pt>
                <c:pt idx="77">
                  <c:v>38980</c:v>
                </c:pt>
                <c:pt idx="78">
                  <c:v>38981</c:v>
                </c:pt>
                <c:pt idx="79">
                  <c:v>38982</c:v>
                </c:pt>
                <c:pt idx="80">
                  <c:v>38985</c:v>
                </c:pt>
                <c:pt idx="81">
                  <c:v>38986</c:v>
                </c:pt>
                <c:pt idx="82">
                  <c:v>38987</c:v>
                </c:pt>
                <c:pt idx="83">
                  <c:v>38988</c:v>
                </c:pt>
                <c:pt idx="84">
                  <c:v>38989</c:v>
                </c:pt>
                <c:pt idx="85">
                  <c:v>38992</c:v>
                </c:pt>
                <c:pt idx="86">
                  <c:v>38993</c:v>
                </c:pt>
                <c:pt idx="87">
                  <c:v>38994</c:v>
                </c:pt>
                <c:pt idx="88">
                  <c:v>38995</c:v>
                </c:pt>
                <c:pt idx="89">
                  <c:v>38996</c:v>
                </c:pt>
                <c:pt idx="90">
                  <c:v>38999</c:v>
                </c:pt>
                <c:pt idx="91">
                  <c:v>39000</c:v>
                </c:pt>
                <c:pt idx="92">
                  <c:v>39001</c:v>
                </c:pt>
                <c:pt idx="93">
                  <c:v>39002</c:v>
                </c:pt>
                <c:pt idx="94">
                  <c:v>39003</c:v>
                </c:pt>
                <c:pt idx="95">
                  <c:v>39006</c:v>
                </c:pt>
                <c:pt idx="96">
                  <c:v>39007</c:v>
                </c:pt>
                <c:pt idx="97">
                  <c:v>39008</c:v>
                </c:pt>
                <c:pt idx="98">
                  <c:v>39009</c:v>
                </c:pt>
                <c:pt idx="99">
                  <c:v>39010</c:v>
                </c:pt>
                <c:pt idx="100">
                  <c:v>39013</c:v>
                </c:pt>
                <c:pt idx="101">
                  <c:v>39014</c:v>
                </c:pt>
                <c:pt idx="102">
                  <c:v>39015</c:v>
                </c:pt>
                <c:pt idx="103">
                  <c:v>39016</c:v>
                </c:pt>
                <c:pt idx="104">
                  <c:v>39017</c:v>
                </c:pt>
                <c:pt idx="105">
                  <c:v>39020</c:v>
                </c:pt>
                <c:pt idx="106">
                  <c:v>39021</c:v>
                </c:pt>
                <c:pt idx="107">
                  <c:v>39022</c:v>
                </c:pt>
                <c:pt idx="108">
                  <c:v>39023</c:v>
                </c:pt>
                <c:pt idx="109">
                  <c:v>39024</c:v>
                </c:pt>
                <c:pt idx="110">
                  <c:v>39027</c:v>
                </c:pt>
                <c:pt idx="111">
                  <c:v>39028</c:v>
                </c:pt>
                <c:pt idx="112">
                  <c:v>39029</c:v>
                </c:pt>
                <c:pt idx="113">
                  <c:v>39030</c:v>
                </c:pt>
                <c:pt idx="114">
                  <c:v>39031</c:v>
                </c:pt>
                <c:pt idx="115">
                  <c:v>39034</c:v>
                </c:pt>
                <c:pt idx="116">
                  <c:v>39035</c:v>
                </c:pt>
                <c:pt idx="117">
                  <c:v>39036</c:v>
                </c:pt>
                <c:pt idx="118">
                  <c:v>39037</c:v>
                </c:pt>
                <c:pt idx="119">
                  <c:v>39038</c:v>
                </c:pt>
                <c:pt idx="120">
                  <c:v>39041</c:v>
                </c:pt>
                <c:pt idx="121">
                  <c:v>39042</c:v>
                </c:pt>
                <c:pt idx="122">
                  <c:v>39043</c:v>
                </c:pt>
                <c:pt idx="123">
                  <c:v>39045</c:v>
                </c:pt>
                <c:pt idx="124">
                  <c:v>39048</c:v>
                </c:pt>
                <c:pt idx="125">
                  <c:v>39049</c:v>
                </c:pt>
                <c:pt idx="126">
                  <c:v>39050</c:v>
                </c:pt>
                <c:pt idx="127">
                  <c:v>39051</c:v>
                </c:pt>
                <c:pt idx="128">
                  <c:v>39052</c:v>
                </c:pt>
                <c:pt idx="129">
                  <c:v>39055</c:v>
                </c:pt>
                <c:pt idx="130">
                  <c:v>39056</c:v>
                </c:pt>
                <c:pt idx="131">
                  <c:v>39057</c:v>
                </c:pt>
                <c:pt idx="132">
                  <c:v>39058</c:v>
                </c:pt>
                <c:pt idx="133">
                  <c:v>39059</c:v>
                </c:pt>
                <c:pt idx="134">
                  <c:v>39062</c:v>
                </c:pt>
                <c:pt idx="135">
                  <c:v>39063</c:v>
                </c:pt>
                <c:pt idx="136">
                  <c:v>39064</c:v>
                </c:pt>
                <c:pt idx="137">
                  <c:v>39065</c:v>
                </c:pt>
                <c:pt idx="138">
                  <c:v>39066</c:v>
                </c:pt>
                <c:pt idx="139">
                  <c:v>39069</c:v>
                </c:pt>
                <c:pt idx="140">
                  <c:v>39070</c:v>
                </c:pt>
                <c:pt idx="141">
                  <c:v>39071</c:v>
                </c:pt>
                <c:pt idx="142">
                  <c:v>39072</c:v>
                </c:pt>
                <c:pt idx="143">
                  <c:v>39073</c:v>
                </c:pt>
                <c:pt idx="144">
                  <c:v>39077</c:v>
                </c:pt>
                <c:pt idx="145">
                  <c:v>39078</c:v>
                </c:pt>
                <c:pt idx="146">
                  <c:v>39079</c:v>
                </c:pt>
                <c:pt idx="147">
                  <c:v>39080</c:v>
                </c:pt>
                <c:pt idx="148">
                  <c:v>39085</c:v>
                </c:pt>
                <c:pt idx="149">
                  <c:v>39086</c:v>
                </c:pt>
                <c:pt idx="150">
                  <c:v>39087</c:v>
                </c:pt>
                <c:pt idx="151">
                  <c:v>39090</c:v>
                </c:pt>
                <c:pt idx="152">
                  <c:v>39091</c:v>
                </c:pt>
                <c:pt idx="153">
                  <c:v>39092</c:v>
                </c:pt>
                <c:pt idx="154">
                  <c:v>39093</c:v>
                </c:pt>
                <c:pt idx="155">
                  <c:v>39094</c:v>
                </c:pt>
                <c:pt idx="156">
                  <c:v>39098</c:v>
                </c:pt>
                <c:pt idx="157">
                  <c:v>39099</c:v>
                </c:pt>
                <c:pt idx="158">
                  <c:v>39100</c:v>
                </c:pt>
                <c:pt idx="159">
                  <c:v>39101</c:v>
                </c:pt>
                <c:pt idx="160">
                  <c:v>39104</c:v>
                </c:pt>
                <c:pt idx="161">
                  <c:v>39105</c:v>
                </c:pt>
                <c:pt idx="162">
                  <c:v>39106</c:v>
                </c:pt>
                <c:pt idx="163">
                  <c:v>39107</c:v>
                </c:pt>
                <c:pt idx="164">
                  <c:v>39108</c:v>
                </c:pt>
                <c:pt idx="165">
                  <c:v>39111</c:v>
                </c:pt>
                <c:pt idx="166">
                  <c:v>39112</c:v>
                </c:pt>
                <c:pt idx="167">
                  <c:v>39113</c:v>
                </c:pt>
                <c:pt idx="168">
                  <c:v>39114</c:v>
                </c:pt>
                <c:pt idx="169">
                  <c:v>39115</c:v>
                </c:pt>
                <c:pt idx="170">
                  <c:v>39118</c:v>
                </c:pt>
                <c:pt idx="171">
                  <c:v>39119</c:v>
                </c:pt>
                <c:pt idx="172">
                  <c:v>39120</c:v>
                </c:pt>
                <c:pt idx="173">
                  <c:v>39121</c:v>
                </c:pt>
                <c:pt idx="174">
                  <c:v>39122</c:v>
                </c:pt>
                <c:pt idx="175">
                  <c:v>39125</c:v>
                </c:pt>
                <c:pt idx="176">
                  <c:v>39126</c:v>
                </c:pt>
                <c:pt idx="177">
                  <c:v>39127</c:v>
                </c:pt>
                <c:pt idx="178">
                  <c:v>39128</c:v>
                </c:pt>
                <c:pt idx="179">
                  <c:v>39129</c:v>
                </c:pt>
                <c:pt idx="180">
                  <c:v>39133</c:v>
                </c:pt>
                <c:pt idx="181">
                  <c:v>39134</c:v>
                </c:pt>
                <c:pt idx="182">
                  <c:v>39135</c:v>
                </c:pt>
                <c:pt idx="183">
                  <c:v>39136</c:v>
                </c:pt>
                <c:pt idx="184">
                  <c:v>39139</c:v>
                </c:pt>
                <c:pt idx="185">
                  <c:v>39140</c:v>
                </c:pt>
                <c:pt idx="186">
                  <c:v>39141</c:v>
                </c:pt>
                <c:pt idx="187">
                  <c:v>39142</c:v>
                </c:pt>
                <c:pt idx="188">
                  <c:v>39143</c:v>
                </c:pt>
                <c:pt idx="189">
                  <c:v>39146</c:v>
                </c:pt>
                <c:pt idx="190">
                  <c:v>39147</c:v>
                </c:pt>
                <c:pt idx="191">
                  <c:v>39148</c:v>
                </c:pt>
                <c:pt idx="192">
                  <c:v>39149</c:v>
                </c:pt>
                <c:pt idx="193">
                  <c:v>39150</c:v>
                </c:pt>
                <c:pt idx="194">
                  <c:v>39153</c:v>
                </c:pt>
                <c:pt idx="195">
                  <c:v>39154</c:v>
                </c:pt>
                <c:pt idx="196">
                  <c:v>39155</c:v>
                </c:pt>
                <c:pt idx="197">
                  <c:v>39156</c:v>
                </c:pt>
                <c:pt idx="198">
                  <c:v>39157</c:v>
                </c:pt>
                <c:pt idx="199">
                  <c:v>39160</c:v>
                </c:pt>
                <c:pt idx="200">
                  <c:v>39161</c:v>
                </c:pt>
                <c:pt idx="201">
                  <c:v>39162</c:v>
                </c:pt>
                <c:pt idx="202">
                  <c:v>39163</c:v>
                </c:pt>
                <c:pt idx="203">
                  <c:v>39164</c:v>
                </c:pt>
                <c:pt idx="204">
                  <c:v>39167</c:v>
                </c:pt>
                <c:pt idx="205">
                  <c:v>39168</c:v>
                </c:pt>
                <c:pt idx="206">
                  <c:v>39169</c:v>
                </c:pt>
                <c:pt idx="207">
                  <c:v>39170</c:v>
                </c:pt>
                <c:pt idx="208">
                  <c:v>39171</c:v>
                </c:pt>
                <c:pt idx="209">
                  <c:v>39174</c:v>
                </c:pt>
                <c:pt idx="210">
                  <c:v>39175</c:v>
                </c:pt>
                <c:pt idx="211">
                  <c:v>39176</c:v>
                </c:pt>
                <c:pt idx="212">
                  <c:v>39177</c:v>
                </c:pt>
                <c:pt idx="213">
                  <c:v>39181</c:v>
                </c:pt>
                <c:pt idx="214">
                  <c:v>39182</c:v>
                </c:pt>
                <c:pt idx="215">
                  <c:v>39183</c:v>
                </c:pt>
                <c:pt idx="216">
                  <c:v>39184</c:v>
                </c:pt>
                <c:pt idx="217">
                  <c:v>39185</c:v>
                </c:pt>
                <c:pt idx="218">
                  <c:v>39188</c:v>
                </c:pt>
                <c:pt idx="219">
                  <c:v>39189</c:v>
                </c:pt>
                <c:pt idx="220">
                  <c:v>39190</c:v>
                </c:pt>
                <c:pt idx="221">
                  <c:v>39191</c:v>
                </c:pt>
                <c:pt idx="222">
                  <c:v>39192</c:v>
                </c:pt>
                <c:pt idx="223">
                  <c:v>39195</c:v>
                </c:pt>
                <c:pt idx="224">
                  <c:v>39196</c:v>
                </c:pt>
                <c:pt idx="225">
                  <c:v>39197</c:v>
                </c:pt>
                <c:pt idx="226">
                  <c:v>39198</c:v>
                </c:pt>
                <c:pt idx="227">
                  <c:v>39199</c:v>
                </c:pt>
                <c:pt idx="228">
                  <c:v>39202</c:v>
                </c:pt>
                <c:pt idx="229">
                  <c:v>39203</c:v>
                </c:pt>
                <c:pt idx="230">
                  <c:v>39204</c:v>
                </c:pt>
                <c:pt idx="231">
                  <c:v>39205</c:v>
                </c:pt>
                <c:pt idx="232">
                  <c:v>39206</c:v>
                </c:pt>
                <c:pt idx="233">
                  <c:v>39209</c:v>
                </c:pt>
                <c:pt idx="234">
                  <c:v>39210</c:v>
                </c:pt>
                <c:pt idx="235">
                  <c:v>39211</c:v>
                </c:pt>
                <c:pt idx="236">
                  <c:v>39212</c:v>
                </c:pt>
                <c:pt idx="237">
                  <c:v>39213</c:v>
                </c:pt>
                <c:pt idx="238">
                  <c:v>39216</c:v>
                </c:pt>
                <c:pt idx="239">
                  <c:v>39217</c:v>
                </c:pt>
                <c:pt idx="240">
                  <c:v>39218</c:v>
                </c:pt>
                <c:pt idx="241">
                  <c:v>39219</c:v>
                </c:pt>
                <c:pt idx="242">
                  <c:v>39220</c:v>
                </c:pt>
                <c:pt idx="243">
                  <c:v>39223</c:v>
                </c:pt>
                <c:pt idx="244">
                  <c:v>39224</c:v>
                </c:pt>
                <c:pt idx="245">
                  <c:v>39225</c:v>
                </c:pt>
                <c:pt idx="246">
                  <c:v>39226</c:v>
                </c:pt>
                <c:pt idx="247">
                  <c:v>39227</c:v>
                </c:pt>
                <c:pt idx="248">
                  <c:v>39231</c:v>
                </c:pt>
                <c:pt idx="249">
                  <c:v>39232</c:v>
                </c:pt>
                <c:pt idx="250">
                  <c:v>39233</c:v>
                </c:pt>
                <c:pt idx="251">
                  <c:v>39234</c:v>
                </c:pt>
                <c:pt idx="252">
                  <c:v>39237</c:v>
                </c:pt>
                <c:pt idx="253">
                  <c:v>39238</c:v>
                </c:pt>
                <c:pt idx="254">
                  <c:v>39239</c:v>
                </c:pt>
                <c:pt idx="255">
                  <c:v>39240</c:v>
                </c:pt>
                <c:pt idx="256">
                  <c:v>39241</c:v>
                </c:pt>
                <c:pt idx="257">
                  <c:v>39244</c:v>
                </c:pt>
                <c:pt idx="258">
                  <c:v>39245</c:v>
                </c:pt>
                <c:pt idx="259">
                  <c:v>39246</c:v>
                </c:pt>
                <c:pt idx="260">
                  <c:v>39247</c:v>
                </c:pt>
                <c:pt idx="261">
                  <c:v>39248</c:v>
                </c:pt>
                <c:pt idx="262">
                  <c:v>39251</c:v>
                </c:pt>
                <c:pt idx="263">
                  <c:v>39252</c:v>
                </c:pt>
                <c:pt idx="264">
                  <c:v>39253</c:v>
                </c:pt>
                <c:pt idx="265">
                  <c:v>39254</c:v>
                </c:pt>
                <c:pt idx="266">
                  <c:v>39255</c:v>
                </c:pt>
                <c:pt idx="267">
                  <c:v>39258</c:v>
                </c:pt>
                <c:pt idx="268">
                  <c:v>39259</c:v>
                </c:pt>
                <c:pt idx="269">
                  <c:v>39260</c:v>
                </c:pt>
                <c:pt idx="270">
                  <c:v>39261</c:v>
                </c:pt>
                <c:pt idx="271">
                  <c:v>39262</c:v>
                </c:pt>
                <c:pt idx="272">
                  <c:v>39265</c:v>
                </c:pt>
                <c:pt idx="273">
                  <c:v>39266</c:v>
                </c:pt>
                <c:pt idx="274">
                  <c:v>39268</c:v>
                </c:pt>
                <c:pt idx="275">
                  <c:v>39269</c:v>
                </c:pt>
                <c:pt idx="276">
                  <c:v>39272</c:v>
                </c:pt>
                <c:pt idx="277">
                  <c:v>39273</c:v>
                </c:pt>
                <c:pt idx="278">
                  <c:v>39274</c:v>
                </c:pt>
                <c:pt idx="279">
                  <c:v>39275</c:v>
                </c:pt>
                <c:pt idx="280">
                  <c:v>39276</c:v>
                </c:pt>
                <c:pt idx="281">
                  <c:v>39279</c:v>
                </c:pt>
                <c:pt idx="282">
                  <c:v>39280</c:v>
                </c:pt>
                <c:pt idx="283">
                  <c:v>39281</c:v>
                </c:pt>
                <c:pt idx="284">
                  <c:v>39282</c:v>
                </c:pt>
                <c:pt idx="285">
                  <c:v>39283</c:v>
                </c:pt>
                <c:pt idx="286">
                  <c:v>39286</c:v>
                </c:pt>
                <c:pt idx="287">
                  <c:v>39287</c:v>
                </c:pt>
                <c:pt idx="288">
                  <c:v>39288</c:v>
                </c:pt>
                <c:pt idx="289">
                  <c:v>39289</c:v>
                </c:pt>
                <c:pt idx="290">
                  <c:v>39290</c:v>
                </c:pt>
                <c:pt idx="291">
                  <c:v>39293</c:v>
                </c:pt>
                <c:pt idx="292">
                  <c:v>39294</c:v>
                </c:pt>
                <c:pt idx="293">
                  <c:v>39295</c:v>
                </c:pt>
                <c:pt idx="294">
                  <c:v>39296</c:v>
                </c:pt>
                <c:pt idx="295">
                  <c:v>39297</c:v>
                </c:pt>
                <c:pt idx="296">
                  <c:v>39300</c:v>
                </c:pt>
                <c:pt idx="297">
                  <c:v>39301</c:v>
                </c:pt>
                <c:pt idx="298">
                  <c:v>39302</c:v>
                </c:pt>
                <c:pt idx="299">
                  <c:v>39303</c:v>
                </c:pt>
                <c:pt idx="300">
                  <c:v>39304</c:v>
                </c:pt>
                <c:pt idx="301">
                  <c:v>39307</c:v>
                </c:pt>
                <c:pt idx="302">
                  <c:v>39308</c:v>
                </c:pt>
                <c:pt idx="303">
                  <c:v>39309</c:v>
                </c:pt>
                <c:pt idx="304">
                  <c:v>39310</c:v>
                </c:pt>
                <c:pt idx="305">
                  <c:v>39311</c:v>
                </c:pt>
                <c:pt idx="306">
                  <c:v>39314</c:v>
                </c:pt>
                <c:pt idx="307">
                  <c:v>39315</c:v>
                </c:pt>
                <c:pt idx="308">
                  <c:v>39316</c:v>
                </c:pt>
                <c:pt idx="309">
                  <c:v>39317</c:v>
                </c:pt>
                <c:pt idx="310">
                  <c:v>39318</c:v>
                </c:pt>
                <c:pt idx="311">
                  <c:v>39321</c:v>
                </c:pt>
                <c:pt idx="312">
                  <c:v>39322</c:v>
                </c:pt>
                <c:pt idx="313">
                  <c:v>39323</c:v>
                </c:pt>
                <c:pt idx="314">
                  <c:v>39324</c:v>
                </c:pt>
                <c:pt idx="315">
                  <c:v>39325</c:v>
                </c:pt>
                <c:pt idx="316">
                  <c:v>39329</c:v>
                </c:pt>
                <c:pt idx="317">
                  <c:v>39330</c:v>
                </c:pt>
                <c:pt idx="318">
                  <c:v>39331</c:v>
                </c:pt>
                <c:pt idx="319">
                  <c:v>39332</c:v>
                </c:pt>
                <c:pt idx="320">
                  <c:v>39335</c:v>
                </c:pt>
                <c:pt idx="321">
                  <c:v>39336</c:v>
                </c:pt>
                <c:pt idx="322">
                  <c:v>39337</c:v>
                </c:pt>
                <c:pt idx="323">
                  <c:v>39338</c:v>
                </c:pt>
                <c:pt idx="324">
                  <c:v>39339</c:v>
                </c:pt>
                <c:pt idx="325">
                  <c:v>39342</c:v>
                </c:pt>
                <c:pt idx="326">
                  <c:v>39343</c:v>
                </c:pt>
                <c:pt idx="327">
                  <c:v>39344</c:v>
                </c:pt>
                <c:pt idx="328">
                  <c:v>39345</c:v>
                </c:pt>
                <c:pt idx="329">
                  <c:v>39346</c:v>
                </c:pt>
                <c:pt idx="330">
                  <c:v>39349</c:v>
                </c:pt>
                <c:pt idx="331">
                  <c:v>39350</c:v>
                </c:pt>
                <c:pt idx="332">
                  <c:v>39351</c:v>
                </c:pt>
                <c:pt idx="333">
                  <c:v>39352</c:v>
                </c:pt>
                <c:pt idx="334">
                  <c:v>39353</c:v>
                </c:pt>
                <c:pt idx="335">
                  <c:v>39356</c:v>
                </c:pt>
                <c:pt idx="336">
                  <c:v>39357</c:v>
                </c:pt>
                <c:pt idx="337">
                  <c:v>39358</c:v>
                </c:pt>
                <c:pt idx="338">
                  <c:v>39359</c:v>
                </c:pt>
                <c:pt idx="339">
                  <c:v>39360</c:v>
                </c:pt>
                <c:pt idx="340">
                  <c:v>39363</c:v>
                </c:pt>
                <c:pt idx="341">
                  <c:v>39364</c:v>
                </c:pt>
                <c:pt idx="342">
                  <c:v>39365</c:v>
                </c:pt>
                <c:pt idx="343">
                  <c:v>39366</c:v>
                </c:pt>
                <c:pt idx="344">
                  <c:v>39367</c:v>
                </c:pt>
                <c:pt idx="345">
                  <c:v>39370</c:v>
                </c:pt>
                <c:pt idx="346">
                  <c:v>39371</c:v>
                </c:pt>
                <c:pt idx="347">
                  <c:v>39372</c:v>
                </c:pt>
                <c:pt idx="348">
                  <c:v>39373</c:v>
                </c:pt>
                <c:pt idx="349">
                  <c:v>39374</c:v>
                </c:pt>
                <c:pt idx="350">
                  <c:v>39377</c:v>
                </c:pt>
                <c:pt idx="351">
                  <c:v>39378</c:v>
                </c:pt>
                <c:pt idx="352">
                  <c:v>39379</c:v>
                </c:pt>
                <c:pt idx="353">
                  <c:v>39380</c:v>
                </c:pt>
                <c:pt idx="354">
                  <c:v>39381</c:v>
                </c:pt>
                <c:pt idx="355">
                  <c:v>39384</c:v>
                </c:pt>
                <c:pt idx="356">
                  <c:v>39385</c:v>
                </c:pt>
                <c:pt idx="357">
                  <c:v>39386</c:v>
                </c:pt>
                <c:pt idx="358">
                  <c:v>39387</c:v>
                </c:pt>
                <c:pt idx="359">
                  <c:v>39388</c:v>
                </c:pt>
                <c:pt idx="360">
                  <c:v>39391</c:v>
                </c:pt>
                <c:pt idx="361">
                  <c:v>39392</c:v>
                </c:pt>
                <c:pt idx="362">
                  <c:v>39393</c:v>
                </c:pt>
                <c:pt idx="363">
                  <c:v>39394</c:v>
                </c:pt>
                <c:pt idx="364">
                  <c:v>39395</c:v>
                </c:pt>
                <c:pt idx="365">
                  <c:v>39398</c:v>
                </c:pt>
                <c:pt idx="366">
                  <c:v>39399</c:v>
                </c:pt>
                <c:pt idx="367">
                  <c:v>39400</c:v>
                </c:pt>
                <c:pt idx="368">
                  <c:v>39401</c:v>
                </c:pt>
                <c:pt idx="369">
                  <c:v>39402</c:v>
                </c:pt>
                <c:pt idx="370">
                  <c:v>39405</c:v>
                </c:pt>
                <c:pt idx="371">
                  <c:v>39406</c:v>
                </c:pt>
                <c:pt idx="372">
                  <c:v>39407</c:v>
                </c:pt>
                <c:pt idx="373">
                  <c:v>39409</c:v>
                </c:pt>
                <c:pt idx="374">
                  <c:v>39412</c:v>
                </c:pt>
                <c:pt idx="375">
                  <c:v>39413</c:v>
                </c:pt>
                <c:pt idx="376">
                  <c:v>39414</c:v>
                </c:pt>
                <c:pt idx="377">
                  <c:v>39415</c:v>
                </c:pt>
                <c:pt idx="378">
                  <c:v>39416</c:v>
                </c:pt>
                <c:pt idx="379">
                  <c:v>39419</c:v>
                </c:pt>
                <c:pt idx="380">
                  <c:v>39420</c:v>
                </c:pt>
                <c:pt idx="381">
                  <c:v>39421</c:v>
                </c:pt>
                <c:pt idx="382">
                  <c:v>39422</c:v>
                </c:pt>
                <c:pt idx="383">
                  <c:v>39423</c:v>
                </c:pt>
                <c:pt idx="384">
                  <c:v>39426</c:v>
                </c:pt>
                <c:pt idx="385">
                  <c:v>39427</c:v>
                </c:pt>
                <c:pt idx="386">
                  <c:v>39428</c:v>
                </c:pt>
                <c:pt idx="387">
                  <c:v>39429</c:v>
                </c:pt>
                <c:pt idx="388">
                  <c:v>39430</c:v>
                </c:pt>
                <c:pt idx="389">
                  <c:v>39433</c:v>
                </c:pt>
                <c:pt idx="390">
                  <c:v>39434</c:v>
                </c:pt>
                <c:pt idx="391">
                  <c:v>39435</c:v>
                </c:pt>
                <c:pt idx="392">
                  <c:v>39436</c:v>
                </c:pt>
                <c:pt idx="393">
                  <c:v>39437</c:v>
                </c:pt>
                <c:pt idx="394">
                  <c:v>39440</c:v>
                </c:pt>
                <c:pt idx="395">
                  <c:v>39442</c:v>
                </c:pt>
                <c:pt idx="396">
                  <c:v>39443</c:v>
                </c:pt>
                <c:pt idx="397">
                  <c:v>39444</c:v>
                </c:pt>
                <c:pt idx="398">
                  <c:v>39447</c:v>
                </c:pt>
                <c:pt idx="399">
                  <c:v>39449</c:v>
                </c:pt>
                <c:pt idx="400">
                  <c:v>39450</c:v>
                </c:pt>
                <c:pt idx="401">
                  <c:v>39451</c:v>
                </c:pt>
                <c:pt idx="402">
                  <c:v>39454</c:v>
                </c:pt>
                <c:pt idx="403">
                  <c:v>39455</c:v>
                </c:pt>
                <c:pt idx="404">
                  <c:v>39456</c:v>
                </c:pt>
                <c:pt idx="405">
                  <c:v>39457</c:v>
                </c:pt>
                <c:pt idx="406">
                  <c:v>39458</c:v>
                </c:pt>
                <c:pt idx="407">
                  <c:v>39461</c:v>
                </c:pt>
                <c:pt idx="408">
                  <c:v>39462</c:v>
                </c:pt>
                <c:pt idx="409">
                  <c:v>39463</c:v>
                </c:pt>
                <c:pt idx="410">
                  <c:v>39464</c:v>
                </c:pt>
                <c:pt idx="411">
                  <c:v>39465</c:v>
                </c:pt>
                <c:pt idx="412">
                  <c:v>39469</c:v>
                </c:pt>
                <c:pt idx="413">
                  <c:v>39470</c:v>
                </c:pt>
                <c:pt idx="414">
                  <c:v>39471</c:v>
                </c:pt>
                <c:pt idx="415">
                  <c:v>39472</c:v>
                </c:pt>
                <c:pt idx="416">
                  <c:v>39475</c:v>
                </c:pt>
                <c:pt idx="417">
                  <c:v>39476</c:v>
                </c:pt>
                <c:pt idx="418">
                  <c:v>39477</c:v>
                </c:pt>
                <c:pt idx="419">
                  <c:v>39478</c:v>
                </c:pt>
                <c:pt idx="420">
                  <c:v>39479</c:v>
                </c:pt>
                <c:pt idx="421">
                  <c:v>39482</c:v>
                </c:pt>
                <c:pt idx="422">
                  <c:v>39483</c:v>
                </c:pt>
                <c:pt idx="423">
                  <c:v>39484</c:v>
                </c:pt>
                <c:pt idx="424">
                  <c:v>39485</c:v>
                </c:pt>
                <c:pt idx="425">
                  <c:v>39486</c:v>
                </c:pt>
                <c:pt idx="426">
                  <c:v>39489</c:v>
                </c:pt>
                <c:pt idx="427">
                  <c:v>39490</c:v>
                </c:pt>
                <c:pt idx="428">
                  <c:v>39491</c:v>
                </c:pt>
                <c:pt idx="429">
                  <c:v>39492</c:v>
                </c:pt>
                <c:pt idx="430">
                  <c:v>39493</c:v>
                </c:pt>
                <c:pt idx="431">
                  <c:v>39497</c:v>
                </c:pt>
                <c:pt idx="432">
                  <c:v>39498</c:v>
                </c:pt>
                <c:pt idx="433">
                  <c:v>39499</c:v>
                </c:pt>
                <c:pt idx="434">
                  <c:v>39500</c:v>
                </c:pt>
                <c:pt idx="435">
                  <c:v>39503</c:v>
                </c:pt>
                <c:pt idx="436">
                  <c:v>39504</c:v>
                </c:pt>
                <c:pt idx="437">
                  <c:v>39505</c:v>
                </c:pt>
                <c:pt idx="438">
                  <c:v>39506</c:v>
                </c:pt>
                <c:pt idx="439">
                  <c:v>39507</c:v>
                </c:pt>
                <c:pt idx="440">
                  <c:v>39510</c:v>
                </c:pt>
                <c:pt idx="441">
                  <c:v>39511</c:v>
                </c:pt>
                <c:pt idx="442">
                  <c:v>39512</c:v>
                </c:pt>
                <c:pt idx="443">
                  <c:v>39513</c:v>
                </c:pt>
                <c:pt idx="444">
                  <c:v>39514</c:v>
                </c:pt>
                <c:pt idx="445">
                  <c:v>39517</c:v>
                </c:pt>
                <c:pt idx="446">
                  <c:v>39518</c:v>
                </c:pt>
                <c:pt idx="447">
                  <c:v>39519</c:v>
                </c:pt>
                <c:pt idx="448">
                  <c:v>39520</c:v>
                </c:pt>
                <c:pt idx="449">
                  <c:v>39521</c:v>
                </c:pt>
                <c:pt idx="450">
                  <c:v>39524</c:v>
                </c:pt>
                <c:pt idx="451">
                  <c:v>39525</c:v>
                </c:pt>
                <c:pt idx="452">
                  <c:v>39526</c:v>
                </c:pt>
                <c:pt idx="453">
                  <c:v>39527</c:v>
                </c:pt>
                <c:pt idx="454">
                  <c:v>39531</c:v>
                </c:pt>
                <c:pt idx="455">
                  <c:v>39532</c:v>
                </c:pt>
                <c:pt idx="456">
                  <c:v>39533</c:v>
                </c:pt>
                <c:pt idx="457">
                  <c:v>39534</c:v>
                </c:pt>
                <c:pt idx="458">
                  <c:v>39535</c:v>
                </c:pt>
                <c:pt idx="459">
                  <c:v>39538</c:v>
                </c:pt>
                <c:pt idx="460">
                  <c:v>39539</c:v>
                </c:pt>
                <c:pt idx="461">
                  <c:v>39540</c:v>
                </c:pt>
                <c:pt idx="462">
                  <c:v>39541</c:v>
                </c:pt>
                <c:pt idx="463">
                  <c:v>39542</c:v>
                </c:pt>
                <c:pt idx="464">
                  <c:v>39545</c:v>
                </c:pt>
                <c:pt idx="465">
                  <c:v>39546</c:v>
                </c:pt>
                <c:pt idx="466">
                  <c:v>39547</c:v>
                </c:pt>
                <c:pt idx="467">
                  <c:v>39548</c:v>
                </c:pt>
                <c:pt idx="468">
                  <c:v>39549</c:v>
                </c:pt>
                <c:pt idx="469">
                  <c:v>39552</c:v>
                </c:pt>
                <c:pt idx="470">
                  <c:v>39553</c:v>
                </c:pt>
                <c:pt idx="471">
                  <c:v>39554</c:v>
                </c:pt>
                <c:pt idx="472">
                  <c:v>39555</c:v>
                </c:pt>
                <c:pt idx="473">
                  <c:v>39556</c:v>
                </c:pt>
                <c:pt idx="474">
                  <c:v>39559</c:v>
                </c:pt>
                <c:pt idx="475">
                  <c:v>39560</c:v>
                </c:pt>
                <c:pt idx="476">
                  <c:v>39561</c:v>
                </c:pt>
                <c:pt idx="477">
                  <c:v>39562</c:v>
                </c:pt>
                <c:pt idx="478">
                  <c:v>39563</c:v>
                </c:pt>
                <c:pt idx="479">
                  <c:v>39566</c:v>
                </c:pt>
                <c:pt idx="480">
                  <c:v>39567</c:v>
                </c:pt>
                <c:pt idx="481">
                  <c:v>39568</c:v>
                </c:pt>
                <c:pt idx="482">
                  <c:v>39569</c:v>
                </c:pt>
                <c:pt idx="483">
                  <c:v>39570</c:v>
                </c:pt>
                <c:pt idx="484">
                  <c:v>39573</c:v>
                </c:pt>
                <c:pt idx="485">
                  <c:v>39574</c:v>
                </c:pt>
                <c:pt idx="486">
                  <c:v>39575</c:v>
                </c:pt>
                <c:pt idx="487">
                  <c:v>39576</c:v>
                </c:pt>
                <c:pt idx="488">
                  <c:v>39577</c:v>
                </c:pt>
                <c:pt idx="489">
                  <c:v>39580</c:v>
                </c:pt>
                <c:pt idx="490">
                  <c:v>39581</c:v>
                </c:pt>
                <c:pt idx="491">
                  <c:v>39582</c:v>
                </c:pt>
                <c:pt idx="492">
                  <c:v>39583</c:v>
                </c:pt>
                <c:pt idx="493">
                  <c:v>39584</c:v>
                </c:pt>
                <c:pt idx="494">
                  <c:v>39587</c:v>
                </c:pt>
                <c:pt idx="495">
                  <c:v>39588</c:v>
                </c:pt>
                <c:pt idx="496">
                  <c:v>39589</c:v>
                </c:pt>
                <c:pt idx="497">
                  <c:v>39590</c:v>
                </c:pt>
                <c:pt idx="498">
                  <c:v>39591</c:v>
                </c:pt>
                <c:pt idx="499">
                  <c:v>39595</c:v>
                </c:pt>
                <c:pt idx="500">
                  <c:v>39596</c:v>
                </c:pt>
                <c:pt idx="501">
                  <c:v>39597</c:v>
                </c:pt>
                <c:pt idx="502">
                  <c:v>39598</c:v>
                </c:pt>
                <c:pt idx="503">
                  <c:v>39601</c:v>
                </c:pt>
                <c:pt idx="504">
                  <c:v>39602</c:v>
                </c:pt>
                <c:pt idx="505">
                  <c:v>39603</c:v>
                </c:pt>
                <c:pt idx="506">
                  <c:v>39604</c:v>
                </c:pt>
                <c:pt idx="507">
                  <c:v>39605</c:v>
                </c:pt>
                <c:pt idx="508">
                  <c:v>39608</c:v>
                </c:pt>
                <c:pt idx="509">
                  <c:v>39609</c:v>
                </c:pt>
                <c:pt idx="510">
                  <c:v>39610</c:v>
                </c:pt>
                <c:pt idx="511">
                  <c:v>39611</c:v>
                </c:pt>
                <c:pt idx="512">
                  <c:v>39612</c:v>
                </c:pt>
                <c:pt idx="513">
                  <c:v>39615</c:v>
                </c:pt>
                <c:pt idx="514">
                  <c:v>39616</c:v>
                </c:pt>
                <c:pt idx="515">
                  <c:v>39617</c:v>
                </c:pt>
                <c:pt idx="516">
                  <c:v>39618</c:v>
                </c:pt>
                <c:pt idx="517">
                  <c:v>39619</c:v>
                </c:pt>
                <c:pt idx="518">
                  <c:v>39622</c:v>
                </c:pt>
                <c:pt idx="519">
                  <c:v>39623</c:v>
                </c:pt>
                <c:pt idx="520">
                  <c:v>39624</c:v>
                </c:pt>
                <c:pt idx="521">
                  <c:v>39625</c:v>
                </c:pt>
                <c:pt idx="522">
                  <c:v>39626</c:v>
                </c:pt>
                <c:pt idx="523">
                  <c:v>39629</c:v>
                </c:pt>
                <c:pt idx="524">
                  <c:v>39630</c:v>
                </c:pt>
                <c:pt idx="525">
                  <c:v>39631</c:v>
                </c:pt>
                <c:pt idx="526">
                  <c:v>39632</c:v>
                </c:pt>
                <c:pt idx="527">
                  <c:v>39636</c:v>
                </c:pt>
                <c:pt idx="528">
                  <c:v>39637</c:v>
                </c:pt>
                <c:pt idx="529">
                  <c:v>39638</c:v>
                </c:pt>
                <c:pt idx="530">
                  <c:v>39639</c:v>
                </c:pt>
                <c:pt idx="531">
                  <c:v>39640</c:v>
                </c:pt>
                <c:pt idx="532">
                  <c:v>39643</c:v>
                </c:pt>
                <c:pt idx="533">
                  <c:v>39644</c:v>
                </c:pt>
                <c:pt idx="534">
                  <c:v>39645</c:v>
                </c:pt>
                <c:pt idx="535">
                  <c:v>39646</c:v>
                </c:pt>
                <c:pt idx="536">
                  <c:v>39647</c:v>
                </c:pt>
                <c:pt idx="537">
                  <c:v>39650</c:v>
                </c:pt>
                <c:pt idx="538">
                  <c:v>39651</c:v>
                </c:pt>
                <c:pt idx="539">
                  <c:v>39652</c:v>
                </c:pt>
                <c:pt idx="540">
                  <c:v>39653</c:v>
                </c:pt>
                <c:pt idx="541">
                  <c:v>39654</c:v>
                </c:pt>
                <c:pt idx="542">
                  <c:v>39657</c:v>
                </c:pt>
                <c:pt idx="543">
                  <c:v>39658</c:v>
                </c:pt>
                <c:pt idx="544">
                  <c:v>39659</c:v>
                </c:pt>
                <c:pt idx="545">
                  <c:v>39660</c:v>
                </c:pt>
                <c:pt idx="546">
                  <c:v>39661</c:v>
                </c:pt>
                <c:pt idx="547">
                  <c:v>39664</c:v>
                </c:pt>
                <c:pt idx="548">
                  <c:v>39665</c:v>
                </c:pt>
                <c:pt idx="549">
                  <c:v>39666</c:v>
                </c:pt>
                <c:pt idx="550">
                  <c:v>39667</c:v>
                </c:pt>
                <c:pt idx="551">
                  <c:v>39668</c:v>
                </c:pt>
                <c:pt idx="552">
                  <c:v>39671</c:v>
                </c:pt>
                <c:pt idx="553">
                  <c:v>39672</c:v>
                </c:pt>
                <c:pt idx="554">
                  <c:v>39673</c:v>
                </c:pt>
                <c:pt idx="555">
                  <c:v>39674</c:v>
                </c:pt>
                <c:pt idx="556">
                  <c:v>39675</c:v>
                </c:pt>
                <c:pt idx="557">
                  <c:v>39678</c:v>
                </c:pt>
                <c:pt idx="558">
                  <c:v>39679</c:v>
                </c:pt>
                <c:pt idx="559">
                  <c:v>39680</c:v>
                </c:pt>
                <c:pt idx="560">
                  <c:v>39681</c:v>
                </c:pt>
                <c:pt idx="561">
                  <c:v>39682</c:v>
                </c:pt>
                <c:pt idx="562">
                  <c:v>39685</c:v>
                </c:pt>
                <c:pt idx="563">
                  <c:v>39686</c:v>
                </c:pt>
                <c:pt idx="564">
                  <c:v>39687</c:v>
                </c:pt>
                <c:pt idx="565">
                  <c:v>39688</c:v>
                </c:pt>
                <c:pt idx="566">
                  <c:v>39689</c:v>
                </c:pt>
                <c:pt idx="567">
                  <c:v>39693</c:v>
                </c:pt>
                <c:pt idx="568">
                  <c:v>39694</c:v>
                </c:pt>
                <c:pt idx="569">
                  <c:v>39695</c:v>
                </c:pt>
                <c:pt idx="570">
                  <c:v>39696</c:v>
                </c:pt>
                <c:pt idx="571">
                  <c:v>39699</c:v>
                </c:pt>
                <c:pt idx="572">
                  <c:v>39700</c:v>
                </c:pt>
                <c:pt idx="573">
                  <c:v>39701</c:v>
                </c:pt>
                <c:pt idx="574">
                  <c:v>39702</c:v>
                </c:pt>
                <c:pt idx="575">
                  <c:v>39703</c:v>
                </c:pt>
                <c:pt idx="576">
                  <c:v>39706</c:v>
                </c:pt>
                <c:pt idx="577">
                  <c:v>39707</c:v>
                </c:pt>
                <c:pt idx="578">
                  <c:v>39708</c:v>
                </c:pt>
                <c:pt idx="579">
                  <c:v>39709</c:v>
                </c:pt>
                <c:pt idx="580">
                  <c:v>39710</c:v>
                </c:pt>
                <c:pt idx="581">
                  <c:v>39713</c:v>
                </c:pt>
                <c:pt idx="582">
                  <c:v>39714</c:v>
                </c:pt>
                <c:pt idx="583">
                  <c:v>39715</c:v>
                </c:pt>
                <c:pt idx="584">
                  <c:v>39716</c:v>
                </c:pt>
                <c:pt idx="585">
                  <c:v>39717</c:v>
                </c:pt>
                <c:pt idx="586">
                  <c:v>39720</c:v>
                </c:pt>
                <c:pt idx="587">
                  <c:v>39721</c:v>
                </c:pt>
                <c:pt idx="588">
                  <c:v>39722</c:v>
                </c:pt>
                <c:pt idx="589">
                  <c:v>39723</c:v>
                </c:pt>
                <c:pt idx="590">
                  <c:v>39724</c:v>
                </c:pt>
                <c:pt idx="591">
                  <c:v>39727</c:v>
                </c:pt>
                <c:pt idx="592">
                  <c:v>39728</c:v>
                </c:pt>
                <c:pt idx="593">
                  <c:v>39729</c:v>
                </c:pt>
                <c:pt idx="594">
                  <c:v>39730</c:v>
                </c:pt>
                <c:pt idx="595">
                  <c:v>39731</c:v>
                </c:pt>
                <c:pt idx="596">
                  <c:v>39734</c:v>
                </c:pt>
                <c:pt idx="597">
                  <c:v>39735</c:v>
                </c:pt>
                <c:pt idx="598">
                  <c:v>39736</c:v>
                </c:pt>
                <c:pt idx="599">
                  <c:v>39737</c:v>
                </c:pt>
                <c:pt idx="600">
                  <c:v>39738</c:v>
                </c:pt>
                <c:pt idx="601">
                  <c:v>39741</c:v>
                </c:pt>
                <c:pt idx="602">
                  <c:v>39742</c:v>
                </c:pt>
                <c:pt idx="603">
                  <c:v>39743</c:v>
                </c:pt>
                <c:pt idx="604">
                  <c:v>39744</c:v>
                </c:pt>
                <c:pt idx="605">
                  <c:v>39745</c:v>
                </c:pt>
                <c:pt idx="606">
                  <c:v>39748</c:v>
                </c:pt>
                <c:pt idx="607">
                  <c:v>39749</c:v>
                </c:pt>
                <c:pt idx="608">
                  <c:v>39750</c:v>
                </c:pt>
                <c:pt idx="609">
                  <c:v>39751</c:v>
                </c:pt>
                <c:pt idx="610">
                  <c:v>39752</c:v>
                </c:pt>
                <c:pt idx="611">
                  <c:v>39755</c:v>
                </c:pt>
                <c:pt idx="612">
                  <c:v>39756</c:v>
                </c:pt>
                <c:pt idx="613">
                  <c:v>39757</c:v>
                </c:pt>
                <c:pt idx="614">
                  <c:v>39758</c:v>
                </c:pt>
                <c:pt idx="615">
                  <c:v>39759</c:v>
                </c:pt>
                <c:pt idx="616">
                  <c:v>39762</c:v>
                </c:pt>
                <c:pt idx="617">
                  <c:v>39763</c:v>
                </c:pt>
                <c:pt idx="618">
                  <c:v>39764</c:v>
                </c:pt>
                <c:pt idx="619">
                  <c:v>39765</c:v>
                </c:pt>
                <c:pt idx="620">
                  <c:v>39766</c:v>
                </c:pt>
                <c:pt idx="621">
                  <c:v>39769</c:v>
                </c:pt>
                <c:pt idx="622">
                  <c:v>39770</c:v>
                </c:pt>
                <c:pt idx="623">
                  <c:v>39771</c:v>
                </c:pt>
                <c:pt idx="624">
                  <c:v>39772</c:v>
                </c:pt>
                <c:pt idx="625">
                  <c:v>39773</c:v>
                </c:pt>
                <c:pt idx="626">
                  <c:v>39776</c:v>
                </c:pt>
                <c:pt idx="627">
                  <c:v>39777</c:v>
                </c:pt>
                <c:pt idx="628">
                  <c:v>39778</c:v>
                </c:pt>
                <c:pt idx="629">
                  <c:v>39780</c:v>
                </c:pt>
                <c:pt idx="630">
                  <c:v>39783</c:v>
                </c:pt>
                <c:pt idx="631">
                  <c:v>39784</c:v>
                </c:pt>
                <c:pt idx="632">
                  <c:v>39785</c:v>
                </c:pt>
                <c:pt idx="633">
                  <c:v>39786</c:v>
                </c:pt>
                <c:pt idx="634">
                  <c:v>39787</c:v>
                </c:pt>
                <c:pt idx="635">
                  <c:v>39790</c:v>
                </c:pt>
                <c:pt idx="636">
                  <c:v>39791</c:v>
                </c:pt>
                <c:pt idx="637">
                  <c:v>39792</c:v>
                </c:pt>
                <c:pt idx="638">
                  <c:v>39793</c:v>
                </c:pt>
                <c:pt idx="639">
                  <c:v>39794</c:v>
                </c:pt>
                <c:pt idx="640">
                  <c:v>39797</c:v>
                </c:pt>
                <c:pt idx="641">
                  <c:v>39798</c:v>
                </c:pt>
                <c:pt idx="642">
                  <c:v>39799</c:v>
                </c:pt>
                <c:pt idx="643">
                  <c:v>39800</c:v>
                </c:pt>
                <c:pt idx="644">
                  <c:v>39801</c:v>
                </c:pt>
                <c:pt idx="645">
                  <c:v>39804</c:v>
                </c:pt>
                <c:pt idx="646">
                  <c:v>39805</c:v>
                </c:pt>
                <c:pt idx="647">
                  <c:v>39806</c:v>
                </c:pt>
                <c:pt idx="648">
                  <c:v>39808</c:v>
                </c:pt>
                <c:pt idx="649">
                  <c:v>39811</c:v>
                </c:pt>
                <c:pt idx="650">
                  <c:v>39812</c:v>
                </c:pt>
                <c:pt idx="651">
                  <c:v>39813</c:v>
                </c:pt>
                <c:pt idx="652">
                  <c:v>39815</c:v>
                </c:pt>
                <c:pt idx="653">
                  <c:v>39818</c:v>
                </c:pt>
                <c:pt idx="654">
                  <c:v>39819</c:v>
                </c:pt>
                <c:pt idx="655">
                  <c:v>39820</c:v>
                </c:pt>
                <c:pt idx="656">
                  <c:v>39821</c:v>
                </c:pt>
                <c:pt idx="657">
                  <c:v>39822</c:v>
                </c:pt>
                <c:pt idx="658">
                  <c:v>39825</c:v>
                </c:pt>
                <c:pt idx="659">
                  <c:v>39826</c:v>
                </c:pt>
                <c:pt idx="660">
                  <c:v>39827</c:v>
                </c:pt>
                <c:pt idx="661">
                  <c:v>39828</c:v>
                </c:pt>
                <c:pt idx="662">
                  <c:v>39829</c:v>
                </c:pt>
                <c:pt idx="663">
                  <c:v>39833</c:v>
                </c:pt>
                <c:pt idx="664">
                  <c:v>39834</c:v>
                </c:pt>
                <c:pt idx="665">
                  <c:v>39835</c:v>
                </c:pt>
                <c:pt idx="666">
                  <c:v>39836</c:v>
                </c:pt>
                <c:pt idx="667">
                  <c:v>39839</c:v>
                </c:pt>
                <c:pt idx="668">
                  <c:v>39840</c:v>
                </c:pt>
                <c:pt idx="669">
                  <c:v>39841</c:v>
                </c:pt>
                <c:pt idx="670">
                  <c:v>39842</c:v>
                </c:pt>
                <c:pt idx="671">
                  <c:v>39843</c:v>
                </c:pt>
                <c:pt idx="672">
                  <c:v>39846</c:v>
                </c:pt>
                <c:pt idx="673">
                  <c:v>39847</c:v>
                </c:pt>
                <c:pt idx="674">
                  <c:v>39848</c:v>
                </c:pt>
                <c:pt idx="675">
                  <c:v>39849</c:v>
                </c:pt>
                <c:pt idx="676">
                  <c:v>39850</c:v>
                </c:pt>
                <c:pt idx="677">
                  <c:v>39853</c:v>
                </c:pt>
                <c:pt idx="678">
                  <c:v>39854</c:v>
                </c:pt>
                <c:pt idx="679">
                  <c:v>39855</c:v>
                </c:pt>
                <c:pt idx="680">
                  <c:v>39856</c:v>
                </c:pt>
                <c:pt idx="681">
                  <c:v>39857</c:v>
                </c:pt>
                <c:pt idx="682">
                  <c:v>39861</c:v>
                </c:pt>
                <c:pt idx="683">
                  <c:v>39862</c:v>
                </c:pt>
                <c:pt idx="684">
                  <c:v>39863</c:v>
                </c:pt>
                <c:pt idx="685">
                  <c:v>39864</c:v>
                </c:pt>
                <c:pt idx="686">
                  <c:v>39867</c:v>
                </c:pt>
                <c:pt idx="687">
                  <c:v>39868</c:v>
                </c:pt>
                <c:pt idx="688">
                  <c:v>39869</c:v>
                </c:pt>
                <c:pt idx="689">
                  <c:v>39870</c:v>
                </c:pt>
                <c:pt idx="690">
                  <c:v>39871</c:v>
                </c:pt>
                <c:pt idx="691">
                  <c:v>39874</c:v>
                </c:pt>
                <c:pt idx="692">
                  <c:v>39875</c:v>
                </c:pt>
                <c:pt idx="693">
                  <c:v>39876</c:v>
                </c:pt>
                <c:pt idx="694">
                  <c:v>39877</c:v>
                </c:pt>
                <c:pt idx="695">
                  <c:v>39878</c:v>
                </c:pt>
                <c:pt idx="696">
                  <c:v>39881</c:v>
                </c:pt>
                <c:pt idx="697">
                  <c:v>39882</c:v>
                </c:pt>
                <c:pt idx="698">
                  <c:v>39883</c:v>
                </c:pt>
                <c:pt idx="699">
                  <c:v>39884</c:v>
                </c:pt>
                <c:pt idx="700">
                  <c:v>39885</c:v>
                </c:pt>
                <c:pt idx="701">
                  <c:v>39888</c:v>
                </c:pt>
                <c:pt idx="702">
                  <c:v>39889</c:v>
                </c:pt>
                <c:pt idx="703">
                  <c:v>39890</c:v>
                </c:pt>
                <c:pt idx="704">
                  <c:v>39891</c:v>
                </c:pt>
                <c:pt idx="705">
                  <c:v>39892</c:v>
                </c:pt>
                <c:pt idx="706">
                  <c:v>39895</c:v>
                </c:pt>
                <c:pt idx="707">
                  <c:v>39896</c:v>
                </c:pt>
                <c:pt idx="708">
                  <c:v>39897</c:v>
                </c:pt>
                <c:pt idx="709">
                  <c:v>39898</c:v>
                </c:pt>
                <c:pt idx="710">
                  <c:v>39899</c:v>
                </c:pt>
                <c:pt idx="711">
                  <c:v>39902</c:v>
                </c:pt>
                <c:pt idx="712">
                  <c:v>39903</c:v>
                </c:pt>
                <c:pt idx="713">
                  <c:v>39904</c:v>
                </c:pt>
                <c:pt idx="714">
                  <c:v>39905</c:v>
                </c:pt>
                <c:pt idx="715">
                  <c:v>39906</c:v>
                </c:pt>
                <c:pt idx="716">
                  <c:v>39909</c:v>
                </c:pt>
                <c:pt idx="717">
                  <c:v>39910</c:v>
                </c:pt>
                <c:pt idx="718">
                  <c:v>39911</c:v>
                </c:pt>
                <c:pt idx="719">
                  <c:v>39912</c:v>
                </c:pt>
                <c:pt idx="720">
                  <c:v>39916</c:v>
                </c:pt>
                <c:pt idx="721">
                  <c:v>39917</c:v>
                </c:pt>
                <c:pt idx="722">
                  <c:v>39918</c:v>
                </c:pt>
                <c:pt idx="723">
                  <c:v>39919</c:v>
                </c:pt>
                <c:pt idx="724">
                  <c:v>39920</c:v>
                </c:pt>
                <c:pt idx="725">
                  <c:v>39923</c:v>
                </c:pt>
                <c:pt idx="726">
                  <c:v>39924</c:v>
                </c:pt>
                <c:pt idx="727">
                  <c:v>39925</c:v>
                </c:pt>
                <c:pt idx="728">
                  <c:v>39926</c:v>
                </c:pt>
                <c:pt idx="729">
                  <c:v>39927</c:v>
                </c:pt>
                <c:pt idx="730">
                  <c:v>39930</c:v>
                </c:pt>
                <c:pt idx="731">
                  <c:v>39931</c:v>
                </c:pt>
                <c:pt idx="732">
                  <c:v>39932</c:v>
                </c:pt>
                <c:pt idx="733">
                  <c:v>39933</c:v>
                </c:pt>
                <c:pt idx="734">
                  <c:v>39934</c:v>
                </c:pt>
                <c:pt idx="735">
                  <c:v>39937</c:v>
                </c:pt>
                <c:pt idx="736">
                  <c:v>39938</c:v>
                </c:pt>
                <c:pt idx="737">
                  <c:v>39939</c:v>
                </c:pt>
                <c:pt idx="738">
                  <c:v>39940</c:v>
                </c:pt>
                <c:pt idx="739">
                  <c:v>39941</c:v>
                </c:pt>
                <c:pt idx="740">
                  <c:v>39944</c:v>
                </c:pt>
                <c:pt idx="741">
                  <c:v>39945</c:v>
                </c:pt>
                <c:pt idx="742">
                  <c:v>39946</c:v>
                </c:pt>
                <c:pt idx="743">
                  <c:v>39947</c:v>
                </c:pt>
                <c:pt idx="744">
                  <c:v>39948</c:v>
                </c:pt>
                <c:pt idx="745">
                  <c:v>39951</c:v>
                </c:pt>
                <c:pt idx="746">
                  <c:v>39952</c:v>
                </c:pt>
                <c:pt idx="747">
                  <c:v>39953</c:v>
                </c:pt>
                <c:pt idx="748">
                  <c:v>39954</c:v>
                </c:pt>
                <c:pt idx="749">
                  <c:v>39955</c:v>
                </c:pt>
                <c:pt idx="750">
                  <c:v>39959</c:v>
                </c:pt>
                <c:pt idx="751">
                  <c:v>39960</c:v>
                </c:pt>
                <c:pt idx="752">
                  <c:v>39961</c:v>
                </c:pt>
                <c:pt idx="753">
                  <c:v>39962</c:v>
                </c:pt>
                <c:pt idx="754">
                  <c:v>39965</c:v>
                </c:pt>
                <c:pt idx="755">
                  <c:v>39966</c:v>
                </c:pt>
                <c:pt idx="756">
                  <c:v>39967</c:v>
                </c:pt>
                <c:pt idx="757">
                  <c:v>39968</c:v>
                </c:pt>
                <c:pt idx="758">
                  <c:v>39969</c:v>
                </c:pt>
                <c:pt idx="759">
                  <c:v>39972</c:v>
                </c:pt>
                <c:pt idx="760">
                  <c:v>39973</c:v>
                </c:pt>
                <c:pt idx="761">
                  <c:v>39974</c:v>
                </c:pt>
                <c:pt idx="762">
                  <c:v>39975</c:v>
                </c:pt>
                <c:pt idx="763">
                  <c:v>39976</c:v>
                </c:pt>
                <c:pt idx="764">
                  <c:v>39979</c:v>
                </c:pt>
                <c:pt idx="765">
                  <c:v>39980</c:v>
                </c:pt>
                <c:pt idx="766">
                  <c:v>39981</c:v>
                </c:pt>
                <c:pt idx="767">
                  <c:v>39982</c:v>
                </c:pt>
                <c:pt idx="768">
                  <c:v>39983</c:v>
                </c:pt>
                <c:pt idx="769">
                  <c:v>39986</c:v>
                </c:pt>
                <c:pt idx="770">
                  <c:v>39987</c:v>
                </c:pt>
                <c:pt idx="771">
                  <c:v>39988</c:v>
                </c:pt>
                <c:pt idx="772">
                  <c:v>39989</c:v>
                </c:pt>
                <c:pt idx="773">
                  <c:v>39990</c:v>
                </c:pt>
                <c:pt idx="774">
                  <c:v>39993</c:v>
                </c:pt>
                <c:pt idx="775">
                  <c:v>39994</c:v>
                </c:pt>
                <c:pt idx="776">
                  <c:v>39995</c:v>
                </c:pt>
                <c:pt idx="777">
                  <c:v>39996</c:v>
                </c:pt>
                <c:pt idx="778">
                  <c:v>40000</c:v>
                </c:pt>
                <c:pt idx="779">
                  <c:v>40001</c:v>
                </c:pt>
                <c:pt idx="780">
                  <c:v>40002</c:v>
                </c:pt>
                <c:pt idx="781">
                  <c:v>40003</c:v>
                </c:pt>
                <c:pt idx="782">
                  <c:v>40004</c:v>
                </c:pt>
                <c:pt idx="783">
                  <c:v>40007</c:v>
                </c:pt>
                <c:pt idx="784">
                  <c:v>40008</c:v>
                </c:pt>
                <c:pt idx="785">
                  <c:v>40009</c:v>
                </c:pt>
                <c:pt idx="786">
                  <c:v>40010</c:v>
                </c:pt>
                <c:pt idx="787">
                  <c:v>40011</c:v>
                </c:pt>
                <c:pt idx="788">
                  <c:v>40014</c:v>
                </c:pt>
                <c:pt idx="789">
                  <c:v>40015</c:v>
                </c:pt>
                <c:pt idx="790">
                  <c:v>40016</c:v>
                </c:pt>
                <c:pt idx="791">
                  <c:v>40017</c:v>
                </c:pt>
                <c:pt idx="792">
                  <c:v>40018</c:v>
                </c:pt>
                <c:pt idx="793">
                  <c:v>40021</c:v>
                </c:pt>
                <c:pt idx="794">
                  <c:v>40022</c:v>
                </c:pt>
                <c:pt idx="795">
                  <c:v>40023</c:v>
                </c:pt>
                <c:pt idx="796">
                  <c:v>40024</c:v>
                </c:pt>
                <c:pt idx="797">
                  <c:v>40025</c:v>
                </c:pt>
                <c:pt idx="798">
                  <c:v>40028</c:v>
                </c:pt>
                <c:pt idx="799">
                  <c:v>40029</c:v>
                </c:pt>
                <c:pt idx="800">
                  <c:v>40030</c:v>
                </c:pt>
                <c:pt idx="801">
                  <c:v>40031</c:v>
                </c:pt>
                <c:pt idx="802">
                  <c:v>40032</c:v>
                </c:pt>
                <c:pt idx="803">
                  <c:v>40035</c:v>
                </c:pt>
                <c:pt idx="804">
                  <c:v>40036</c:v>
                </c:pt>
                <c:pt idx="805">
                  <c:v>40037</c:v>
                </c:pt>
                <c:pt idx="806">
                  <c:v>40038</c:v>
                </c:pt>
                <c:pt idx="807">
                  <c:v>40039</c:v>
                </c:pt>
                <c:pt idx="808">
                  <c:v>40042</c:v>
                </c:pt>
                <c:pt idx="809">
                  <c:v>40043</c:v>
                </c:pt>
                <c:pt idx="810">
                  <c:v>40044</c:v>
                </c:pt>
                <c:pt idx="811">
                  <c:v>40045</c:v>
                </c:pt>
                <c:pt idx="812">
                  <c:v>40046</c:v>
                </c:pt>
                <c:pt idx="813">
                  <c:v>40049</c:v>
                </c:pt>
                <c:pt idx="814">
                  <c:v>40050</c:v>
                </c:pt>
                <c:pt idx="815">
                  <c:v>40051</c:v>
                </c:pt>
                <c:pt idx="816">
                  <c:v>40052</c:v>
                </c:pt>
                <c:pt idx="817">
                  <c:v>40053</c:v>
                </c:pt>
                <c:pt idx="818">
                  <c:v>40056</c:v>
                </c:pt>
                <c:pt idx="819">
                  <c:v>40057</c:v>
                </c:pt>
                <c:pt idx="820">
                  <c:v>40058</c:v>
                </c:pt>
                <c:pt idx="821">
                  <c:v>40059</c:v>
                </c:pt>
                <c:pt idx="822">
                  <c:v>40060</c:v>
                </c:pt>
                <c:pt idx="823">
                  <c:v>40064</c:v>
                </c:pt>
                <c:pt idx="824">
                  <c:v>40065</c:v>
                </c:pt>
                <c:pt idx="825">
                  <c:v>40066</c:v>
                </c:pt>
                <c:pt idx="826">
                  <c:v>40067</c:v>
                </c:pt>
                <c:pt idx="827">
                  <c:v>40070</c:v>
                </c:pt>
                <c:pt idx="828">
                  <c:v>40071</c:v>
                </c:pt>
                <c:pt idx="829">
                  <c:v>40072</c:v>
                </c:pt>
                <c:pt idx="830">
                  <c:v>40073</c:v>
                </c:pt>
                <c:pt idx="831">
                  <c:v>40074</c:v>
                </c:pt>
                <c:pt idx="832">
                  <c:v>40077</c:v>
                </c:pt>
                <c:pt idx="833">
                  <c:v>40078</c:v>
                </c:pt>
                <c:pt idx="834">
                  <c:v>40079</c:v>
                </c:pt>
                <c:pt idx="835">
                  <c:v>40080</c:v>
                </c:pt>
                <c:pt idx="836">
                  <c:v>40081</c:v>
                </c:pt>
                <c:pt idx="837">
                  <c:v>40084</c:v>
                </c:pt>
                <c:pt idx="838">
                  <c:v>40085</c:v>
                </c:pt>
                <c:pt idx="839">
                  <c:v>40086</c:v>
                </c:pt>
                <c:pt idx="840">
                  <c:v>40087</c:v>
                </c:pt>
                <c:pt idx="841">
                  <c:v>40088</c:v>
                </c:pt>
                <c:pt idx="842">
                  <c:v>40091</c:v>
                </c:pt>
                <c:pt idx="843">
                  <c:v>40092</c:v>
                </c:pt>
                <c:pt idx="844">
                  <c:v>40093</c:v>
                </c:pt>
                <c:pt idx="845">
                  <c:v>40094</c:v>
                </c:pt>
                <c:pt idx="846">
                  <c:v>40095</c:v>
                </c:pt>
                <c:pt idx="847">
                  <c:v>40098</c:v>
                </c:pt>
                <c:pt idx="848">
                  <c:v>40099</c:v>
                </c:pt>
                <c:pt idx="849">
                  <c:v>40100</c:v>
                </c:pt>
                <c:pt idx="850">
                  <c:v>40101</c:v>
                </c:pt>
                <c:pt idx="851">
                  <c:v>40102</c:v>
                </c:pt>
                <c:pt idx="852">
                  <c:v>40105</c:v>
                </c:pt>
                <c:pt idx="853">
                  <c:v>40106</c:v>
                </c:pt>
                <c:pt idx="854">
                  <c:v>40107</c:v>
                </c:pt>
                <c:pt idx="855">
                  <c:v>40108</c:v>
                </c:pt>
                <c:pt idx="856">
                  <c:v>40109</c:v>
                </c:pt>
                <c:pt idx="857">
                  <c:v>40112</c:v>
                </c:pt>
                <c:pt idx="858">
                  <c:v>40113</c:v>
                </c:pt>
                <c:pt idx="859">
                  <c:v>40114</c:v>
                </c:pt>
                <c:pt idx="860">
                  <c:v>40115</c:v>
                </c:pt>
                <c:pt idx="861">
                  <c:v>40116</c:v>
                </c:pt>
                <c:pt idx="862">
                  <c:v>40119</c:v>
                </c:pt>
                <c:pt idx="863">
                  <c:v>40120</c:v>
                </c:pt>
                <c:pt idx="864">
                  <c:v>40121</c:v>
                </c:pt>
                <c:pt idx="865">
                  <c:v>40122</c:v>
                </c:pt>
                <c:pt idx="866">
                  <c:v>40123</c:v>
                </c:pt>
                <c:pt idx="867">
                  <c:v>40126</c:v>
                </c:pt>
                <c:pt idx="868">
                  <c:v>40127</c:v>
                </c:pt>
                <c:pt idx="869">
                  <c:v>40128</c:v>
                </c:pt>
                <c:pt idx="870">
                  <c:v>40129</c:v>
                </c:pt>
                <c:pt idx="871">
                  <c:v>40130</c:v>
                </c:pt>
                <c:pt idx="872">
                  <c:v>40133</c:v>
                </c:pt>
                <c:pt idx="873">
                  <c:v>40134</c:v>
                </c:pt>
                <c:pt idx="874">
                  <c:v>40135</c:v>
                </c:pt>
                <c:pt idx="875">
                  <c:v>40136</c:v>
                </c:pt>
                <c:pt idx="876">
                  <c:v>40137</c:v>
                </c:pt>
                <c:pt idx="877">
                  <c:v>40140</c:v>
                </c:pt>
                <c:pt idx="878">
                  <c:v>40141</c:v>
                </c:pt>
                <c:pt idx="879">
                  <c:v>40142</c:v>
                </c:pt>
                <c:pt idx="880">
                  <c:v>40144</c:v>
                </c:pt>
                <c:pt idx="881">
                  <c:v>40147</c:v>
                </c:pt>
                <c:pt idx="882">
                  <c:v>40148</c:v>
                </c:pt>
                <c:pt idx="883">
                  <c:v>40149</c:v>
                </c:pt>
                <c:pt idx="884">
                  <c:v>40150</c:v>
                </c:pt>
                <c:pt idx="885">
                  <c:v>40151</c:v>
                </c:pt>
                <c:pt idx="886">
                  <c:v>40154</c:v>
                </c:pt>
                <c:pt idx="887">
                  <c:v>40155</c:v>
                </c:pt>
                <c:pt idx="888">
                  <c:v>40156</c:v>
                </c:pt>
                <c:pt idx="889">
                  <c:v>40157</c:v>
                </c:pt>
                <c:pt idx="890">
                  <c:v>40158</c:v>
                </c:pt>
                <c:pt idx="891">
                  <c:v>40161</c:v>
                </c:pt>
                <c:pt idx="892">
                  <c:v>40162</c:v>
                </c:pt>
                <c:pt idx="893">
                  <c:v>40163</c:v>
                </c:pt>
                <c:pt idx="894">
                  <c:v>40164</c:v>
                </c:pt>
                <c:pt idx="895">
                  <c:v>40165</c:v>
                </c:pt>
                <c:pt idx="896">
                  <c:v>40168</c:v>
                </c:pt>
                <c:pt idx="897">
                  <c:v>40169</c:v>
                </c:pt>
                <c:pt idx="898">
                  <c:v>40170</c:v>
                </c:pt>
                <c:pt idx="899">
                  <c:v>40171</c:v>
                </c:pt>
                <c:pt idx="900">
                  <c:v>40175</c:v>
                </c:pt>
                <c:pt idx="901">
                  <c:v>40176</c:v>
                </c:pt>
                <c:pt idx="902">
                  <c:v>40177</c:v>
                </c:pt>
                <c:pt idx="903">
                  <c:v>40178</c:v>
                </c:pt>
                <c:pt idx="904">
                  <c:v>40182</c:v>
                </c:pt>
                <c:pt idx="905">
                  <c:v>40183</c:v>
                </c:pt>
                <c:pt idx="906">
                  <c:v>40184</c:v>
                </c:pt>
                <c:pt idx="907">
                  <c:v>40185</c:v>
                </c:pt>
                <c:pt idx="908">
                  <c:v>40186</c:v>
                </c:pt>
                <c:pt idx="909">
                  <c:v>40189</c:v>
                </c:pt>
                <c:pt idx="910">
                  <c:v>40190</c:v>
                </c:pt>
                <c:pt idx="911">
                  <c:v>40191</c:v>
                </c:pt>
                <c:pt idx="912">
                  <c:v>40192</c:v>
                </c:pt>
                <c:pt idx="913">
                  <c:v>40193</c:v>
                </c:pt>
                <c:pt idx="914">
                  <c:v>40197</c:v>
                </c:pt>
                <c:pt idx="915">
                  <c:v>40198</c:v>
                </c:pt>
                <c:pt idx="916">
                  <c:v>40199</c:v>
                </c:pt>
                <c:pt idx="917">
                  <c:v>40200</c:v>
                </c:pt>
                <c:pt idx="918">
                  <c:v>40203</c:v>
                </c:pt>
                <c:pt idx="919">
                  <c:v>40204</c:v>
                </c:pt>
                <c:pt idx="920">
                  <c:v>40205</c:v>
                </c:pt>
                <c:pt idx="921">
                  <c:v>40206</c:v>
                </c:pt>
                <c:pt idx="922">
                  <c:v>40207</c:v>
                </c:pt>
                <c:pt idx="923">
                  <c:v>40210</c:v>
                </c:pt>
                <c:pt idx="924">
                  <c:v>40211</c:v>
                </c:pt>
                <c:pt idx="925">
                  <c:v>40212</c:v>
                </c:pt>
                <c:pt idx="926">
                  <c:v>40213</c:v>
                </c:pt>
                <c:pt idx="927">
                  <c:v>40214</c:v>
                </c:pt>
                <c:pt idx="928">
                  <c:v>40217</c:v>
                </c:pt>
                <c:pt idx="929">
                  <c:v>40218</c:v>
                </c:pt>
                <c:pt idx="930">
                  <c:v>40219</c:v>
                </c:pt>
                <c:pt idx="931">
                  <c:v>40220</c:v>
                </c:pt>
                <c:pt idx="932">
                  <c:v>40221</c:v>
                </c:pt>
                <c:pt idx="933">
                  <c:v>40225</c:v>
                </c:pt>
                <c:pt idx="934">
                  <c:v>40226</c:v>
                </c:pt>
                <c:pt idx="935">
                  <c:v>40227</c:v>
                </c:pt>
                <c:pt idx="936">
                  <c:v>40228</c:v>
                </c:pt>
                <c:pt idx="937">
                  <c:v>40231</c:v>
                </c:pt>
                <c:pt idx="938">
                  <c:v>40232</c:v>
                </c:pt>
                <c:pt idx="939">
                  <c:v>40233</c:v>
                </c:pt>
                <c:pt idx="940">
                  <c:v>40234</c:v>
                </c:pt>
                <c:pt idx="941">
                  <c:v>40235</c:v>
                </c:pt>
                <c:pt idx="942">
                  <c:v>40238</c:v>
                </c:pt>
                <c:pt idx="943">
                  <c:v>40239</c:v>
                </c:pt>
                <c:pt idx="944">
                  <c:v>40240</c:v>
                </c:pt>
                <c:pt idx="945">
                  <c:v>40241</c:v>
                </c:pt>
                <c:pt idx="946">
                  <c:v>40242</c:v>
                </c:pt>
                <c:pt idx="947">
                  <c:v>40245</c:v>
                </c:pt>
                <c:pt idx="948">
                  <c:v>40246</c:v>
                </c:pt>
                <c:pt idx="949">
                  <c:v>40247</c:v>
                </c:pt>
                <c:pt idx="950">
                  <c:v>40248</c:v>
                </c:pt>
                <c:pt idx="951">
                  <c:v>40249</c:v>
                </c:pt>
                <c:pt idx="952">
                  <c:v>40252</c:v>
                </c:pt>
                <c:pt idx="953">
                  <c:v>40253</c:v>
                </c:pt>
                <c:pt idx="954">
                  <c:v>40254</c:v>
                </c:pt>
                <c:pt idx="955">
                  <c:v>40255</c:v>
                </c:pt>
                <c:pt idx="956">
                  <c:v>40256</c:v>
                </c:pt>
                <c:pt idx="957">
                  <c:v>40259</c:v>
                </c:pt>
                <c:pt idx="958">
                  <c:v>40260</c:v>
                </c:pt>
                <c:pt idx="959">
                  <c:v>40261</c:v>
                </c:pt>
                <c:pt idx="960">
                  <c:v>40262</c:v>
                </c:pt>
                <c:pt idx="961">
                  <c:v>40263</c:v>
                </c:pt>
                <c:pt idx="962">
                  <c:v>40266</c:v>
                </c:pt>
                <c:pt idx="963">
                  <c:v>40267</c:v>
                </c:pt>
                <c:pt idx="964">
                  <c:v>40268</c:v>
                </c:pt>
                <c:pt idx="965">
                  <c:v>40269</c:v>
                </c:pt>
                <c:pt idx="966">
                  <c:v>40273</c:v>
                </c:pt>
                <c:pt idx="967">
                  <c:v>40274</c:v>
                </c:pt>
                <c:pt idx="968">
                  <c:v>40275</c:v>
                </c:pt>
                <c:pt idx="969">
                  <c:v>40276</c:v>
                </c:pt>
                <c:pt idx="970">
                  <c:v>40277</c:v>
                </c:pt>
                <c:pt idx="971">
                  <c:v>40280</c:v>
                </c:pt>
                <c:pt idx="972">
                  <c:v>40281</c:v>
                </c:pt>
                <c:pt idx="973">
                  <c:v>40282</c:v>
                </c:pt>
                <c:pt idx="974">
                  <c:v>40283</c:v>
                </c:pt>
                <c:pt idx="975">
                  <c:v>40284</c:v>
                </c:pt>
                <c:pt idx="976">
                  <c:v>40287</c:v>
                </c:pt>
                <c:pt idx="977">
                  <c:v>40288</c:v>
                </c:pt>
                <c:pt idx="978">
                  <c:v>40289</c:v>
                </c:pt>
                <c:pt idx="979">
                  <c:v>40290</c:v>
                </c:pt>
                <c:pt idx="980">
                  <c:v>40291</c:v>
                </c:pt>
                <c:pt idx="981">
                  <c:v>40294</c:v>
                </c:pt>
                <c:pt idx="982">
                  <c:v>40295</c:v>
                </c:pt>
                <c:pt idx="983">
                  <c:v>40296</c:v>
                </c:pt>
                <c:pt idx="984">
                  <c:v>40297</c:v>
                </c:pt>
                <c:pt idx="985">
                  <c:v>40298</c:v>
                </c:pt>
                <c:pt idx="986">
                  <c:v>40301</c:v>
                </c:pt>
                <c:pt idx="987">
                  <c:v>40302</c:v>
                </c:pt>
                <c:pt idx="988">
                  <c:v>40303</c:v>
                </c:pt>
                <c:pt idx="989">
                  <c:v>40304</c:v>
                </c:pt>
                <c:pt idx="990">
                  <c:v>40305</c:v>
                </c:pt>
                <c:pt idx="991">
                  <c:v>40308</c:v>
                </c:pt>
                <c:pt idx="992">
                  <c:v>40309</c:v>
                </c:pt>
                <c:pt idx="993">
                  <c:v>40310</c:v>
                </c:pt>
                <c:pt idx="994">
                  <c:v>40311</c:v>
                </c:pt>
                <c:pt idx="995">
                  <c:v>40312</c:v>
                </c:pt>
                <c:pt idx="996">
                  <c:v>40315</c:v>
                </c:pt>
                <c:pt idx="997">
                  <c:v>40316</c:v>
                </c:pt>
                <c:pt idx="998">
                  <c:v>40317</c:v>
                </c:pt>
                <c:pt idx="999">
                  <c:v>40318</c:v>
                </c:pt>
                <c:pt idx="1000">
                  <c:v>40319</c:v>
                </c:pt>
                <c:pt idx="1001">
                  <c:v>40322</c:v>
                </c:pt>
                <c:pt idx="1002">
                  <c:v>40323</c:v>
                </c:pt>
                <c:pt idx="1003">
                  <c:v>40324</c:v>
                </c:pt>
                <c:pt idx="1004">
                  <c:v>40325</c:v>
                </c:pt>
                <c:pt idx="1005">
                  <c:v>40326</c:v>
                </c:pt>
                <c:pt idx="1006">
                  <c:v>40330</c:v>
                </c:pt>
                <c:pt idx="1007">
                  <c:v>40331</c:v>
                </c:pt>
                <c:pt idx="1008">
                  <c:v>40332</c:v>
                </c:pt>
                <c:pt idx="1009">
                  <c:v>40333</c:v>
                </c:pt>
                <c:pt idx="1010">
                  <c:v>40336</c:v>
                </c:pt>
                <c:pt idx="1011">
                  <c:v>40337</c:v>
                </c:pt>
                <c:pt idx="1012">
                  <c:v>40338</c:v>
                </c:pt>
                <c:pt idx="1013">
                  <c:v>40339</c:v>
                </c:pt>
                <c:pt idx="1014">
                  <c:v>40340</c:v>
                </c:pt>
                <c:pt idx="1015">
                  <c:v>40343</c:v>
                </c:pt>
                <c:pt idx="1016">
                  <c:v>40344</c:v>
                </c:pt>
                <c:pt idx="1017">
                  <c:v>40345</c:v>
                </c:pt>
                <c:pt idx="1018">
                  <c:v>40346</c:v>
                </c:pt>
                <c:pt idx="1019">
                  <c:v>40347</c:v>
                </c:pt>
                <c:pt idx="1020">
                  <c:v>40350</c:v>
                </c:pt>
                <c:pt idx="1021">
                  <c:v>40351</c:v>
                </c:pt>
                <c:pt idx="1022">
                  <c:v>40352</c:v>
                </c:pt>
                <c:pt idx="1023">
                  <c:v>40353</c:v>
                </c:pt>
                <c:pt idx="1024">
                  <c:v>40354</c:v>
                </c:pt>
                <c:pt idx="1025">
                  <c:v>40357</c:v>
                </c:pt>
                <c:pt idx="1026">
                  <c:v>40358</c:v>
                </c:pt>
                <c:pt idx="1027">
                  <c:v>40359</c:v>
                </c:pt>
                <c:pt idx="1028">
                  <c:v>40360</c:v>
                </c:pt>
                <c:pt idx="1029">
                  <c:v>40361</c:v>
                </c:pt>
                <c:pt idx="1030">
                  <c:v>40365</c:v>
                </c:pt>
                <c:pt idx="1031">
                  <c:v>40366</c:v>
                </c:pt>
                <c:pt idx="1032">
                  <c:v>40367</c:v>
                </c:pt>
                <c:pt idx="1033">
                  <c:v>40368</c:v>
                </c:pt>
                <c:pt idx="1034">
                  <c:v>40371</c:v>
                </c:pt>
                <c:pt idx="1035">
                  <c:v>40372</c:v>
                </c:pt>
                <c:pt idx="1036">
                  <c:v>40373</c:v>
                </c:pt>
                <c:pt idx="1037">
                  <c:v>40374</c:v>
                </c:pt>
                <c:pt idx="1038">
                  <c:v>40375</c:v>
                </c:pt>
                <c:pt idx="1039">
                  <c:v>40378</c:v>
                </c:pt>
                <c:pt idx="1040">
                  <c:v>40379</c:v>
                </c:pt>
                <c:pt idx="1041">
                  <c:v>40380</c:v>
                </c:pt>
                <c:pt idx="1042">
                  <c:v>40381</c:v>
                </c:pt>
                <c:pt idx="1043">
                  <c:v>40382</c:v>
                </c:pt>
                <c:pt idx="1044">
                  <c:v>40385</c:v>
                </c:pt>
                <c:pt idx="1045">
                  <c:v>40386</c:v>
                </c:pt>
                <c:pt idx="1046">
                  <c:v>40387</c:v>
                </c:pt>
                <c:pt idx="1047">
                  <c:v>40388</c:v>
                </c:pt>
                <c:pt idx="1048">
                  <c:v>40389</c:v>
                </c:pt>
                <c:pt idx="1049">
                  <c:v>40392</c:v>
                </c:pt>
                <c:pt idx="1050">
                  <c:v>40393</c:v>
                </c:pt>
                <c:pt idx="1051">
                  <c:v>40394</c:v>
                </c:pt>
                <c:pt idx="1052">
                  <c:v>40395</c:v>
                </c:pt>
                <c:pt idx="1053">
                  <c:v>40396</c:v>
                </c:pt>
                <c:pt idx="1054">
                  <c:v>40399</c:v>
                </c:pt>
                <c:pt idx="1055">
                  <c:v>40400</c:v>
                </c:pt>
                <c:pt idx="1056">
                  <c:v>40401</c:v>
                </c:pt>
                <c:pt idx="1057">
                  <c:v>40402</c:v>
                </c:pt>
                <c:pt idx="1058">
                  <c:v>40403</c:v>
                </c:pt>
                <c:pt idx="1059">
                  <c:v>40406</c:v>
                </c:pt>
                <c:pt idx="1060">
                  <c:v>40407</c:v>
                </c:pt>
                <c:pt idx="1061">
                  <c:v>40408</c:v>
                </c:pt>
                <c:pt idx="1062">
                  <c:v>40409</c:v>
                </c:pt>
                <c:pt idx="1063">
                  <c:v>40410</c:v>
                </c:pt>
                <c:pt idx="1064">
                  <c:v>40413</c:v>
                </c:pt>
                <c:pt idx="1065">
                  <c:v>40414</c:v>
                </c:pt>
                <c:pt idx="1066">
                  <c:v>40415</c:v>
                </c:pt>
                <c:pt idx="1067">
                  <c:v>40416</c:v>
                </c:pt>
                <c:pt idx="1068">
                  <c:v>40417</c:v>
                </c:pt>
                <c:pt idx="1069">
                  <c:v>40420</c:v>
                </c:pt>
                <c:pt idx="1070">
                  <c:v>40421</c:v>
                </c:pt>
                <c:pt idx="1071">
                  <c:v>40422</c:v>
                </c:pt>
                <c:pt idx="1072">
                  <c:v>40423</c:v>
                </c:pt>
                <c:pt idx="1073">
                  <c:v>40424</c:v>
                </c:pt>
                <c:pt idx="1074">
                  <c:v>40428</c:v>
                </c:pt>
                <c:pt idx="1075">
                  <c:v>40429</c:v>
                </c:pt>
                <c:pt idx="1076">
                  <c:v>40430</c:v>
                </c:pt>
                <c:pt idx="1077">
                  <c:v>40431</c:v>
                </c:pt>
                <c:pt idx="1078">
                  <c:v>40434</c:v>
                </c:pt>
                <c:pt idx="1079">
                  <c:v>40435</c:v>
                </c:pt>
                <c:pt idx="1080">
                  <c:v>40436</c:v>
                </c:pt>
                <c:pt idx="1081">
                  <c:v>40437</c:v>
                </c:pt>
                <c:pt idx="1082">
                  <c:v>40438</c:v>
                </c:pt>
                <c:pt idx="1083">
                  <c:v>40441</c:v>
                </c:pt>
                <c:pt idx="1084">
                  <c:v>40442</c:v>
                </c:pt>
                <c:pt idx="1085">
                  <c:v>40443</c:v>
                </c:pt>
                <c:pt idx="1086">
                  <c:v>40444</c:v>
                </c:pt>
                <c:pt idx="1087">
                  <c:v>40445</c:v>
                </c:pt>
                <c:pt idx="1088">
                  <c:v>40448</c:v>
                </c:pt>
                <c:pt idx="1089">
                  <c:v>40449</c:v>
                </c:pt>
                <c:pt idx="1090">
                  <c:v>40450</c:v>
                </c:pt>
                <c:pt idx="1091">
                  <c:v>40451</c:v>
                </c:pt>
                <c:pt idx="1092">
                  <c:v>40452</c:v>
                </c:pt>
                <c:pt idx="1093">
                  <c:v>40455</c:v>
                </c:pt>
                <c:pt idx="1094">
                  <c:v>40456</c:v>
                </c:pt>
                <c:pt idx="1095">
                  <c:v>40457</c:v>
                </c:pt>
                <c:pt idx="1096">
                  <c:v>40458</c:v>
                </c:pt>
                <c:pt idx="1097">
                  <c:v>40459</c:v>
                </c:pt>
                <c:pt idx="1098">
                  <c:v>40462</c:v>
                </c:pt>
                <c:pt idx="1099">
                  <c:v>40463</c:v>
                </c:pt>
                <c:pt idx="1100">
                  <c:v>40464</c:v>
                </c:pt>
                <c:pt idx="1101">
                  <c:v>40465</c:v>
                </c:pt>
                <c:pt idx="1102">
                  <c:v>40466</c:v>
                </c:pt>
                <c:pt idx="1103">
                  <c:v>40469</c:v>
                </c:pt>
                <c:pt idx="1104">
                  <c:v>40470</c:v>
                </c:pt>
                <c:pt idx="1105">
                  <c:v>40471</c:v>
                </c:pt>
                <c:pt idx="1106">
                  <c:v>40472</c:v>
                </c:pt>
                <c:pt idx="1107">
                  <c:v>40473</c:v>
                </c:pt>
                <c:pt idx="1108">
                  <c:v>40476</c:v>
                </c:pt>
                <c:pt idx="1109">
                  <c:v>40477</c:v>
                </c:pt>
                <c:pt idx="1110">
                  <c:v>40478</c:v>
                </c:pt>
                <c:pt idx="1111">
                  <c:v>40479</c:v>
                </c:pt>
                <c:pt idx="1112">
                  <c:v>40480</c:v>
                </c:pt>
                <c:pt idx="1113">
                  <c:v>40483</c:v>
                </c:pt>
                <c:pt idx="1114">
                  <c:v>40484</c:v>
                </c:pt>
                <c:pt idx="1115">
                  <c:v>40485</c:v>
                </c:pt>
                <c:pt idx="1116">
                  <c:v>40486</c:v>
                </c:pt>
                <c:pt idx="1117">
                  <c:v>40487</c:v>
                </c:pt>
                <c:pt idx="1118">
                  <c:v>40490</c:v>
                </c:pt>
                <c:pt idx="1119">
                  <c:v>40491</c:v>
                </c:pt>
                <c:pt idx="1120">
                  <c:v>40492</c:v>
                </c:pt>
                <c:pt idx="1121">
                  <c:v>40493</c:v>
                </c:pt>
                <c:pt idx="1122">
                  <c:v>40494</c:v>
                </c:pt>
                <c:pt idx="1123">
                  <c:v>40497</c:v>
                </c:pt>
                <c:pt idx="1124">
                  <c:v>40498</c:v>
                </c:pt>
                <c:pt idx="1125">
                  <c:v>40499</c:v>
                </c:pt>
                <c:pt idx="1126">
                  <c:v>40500</c:v>
                </c:pt>
                <c:pt idx="1127">
                  <c:v>40501</c:v>
                </c:pt>
                <c:pt idx="1128">
                  <c:v>40504</c:v>
                </c:pt>
                <c:pt idx="1129">
                  <c:v>40505</c:v>
                </c:pt>
                <c:pt idx="1130">
                  <c:v>40506</c:v>
                </c:pt>
                <c:pt idx="1131">
                  <c:v>40508</c:v>
                </c:pt>
                <c:pt idx="1132">
                  <c:v>40511</c:v>
                </c:pt>
                <c:pt idx="1133">
                  <c:v>40512</c:v>
                </c:pt>
                <c:pt idx="1134">
                  <c:v>40513</c:v>
                </c:pt>
                <c:pt idx="1135">
                  <c:v>40514</c:v>
                </c:pt>
                <c:pt idx="1136">
                  <c:v>40515</c:v>
                </c:pt>
                <c:pt idx="1137">
                  <c:v>40518</c:v>
                </c:pt>
                <c:pt idx="1138">
                  <c:v>40519</c:v>
                </c:pt>
                <c:pt idx="1139">
                  <c:v>40520</c:v>
                </c:pt>
                <c:pt idx="1140">
                  <c:v>40521</c:v>
                </c:pt>
                <c:pt idx="1141">
                  <c:v>40522</c:v>
                </c:pt>
                <c:pt idx="1142">
                  <c:v>40525</c:v>
                </c:pt>
                <c:pt idx="1143">
                  <c:v>40526</c:v>
                </c:pt>
                <c:pt idx="1144">
                  <c:v>40527</c:v>
                </c:pt>
                <c:pt idx="1145">
                  <c:v>40528</c:v>
                </c:pt>
                <c:pt idx="1146">
                  <c:v>40529</c:v>
                </c:pt>
                <c:pt idx="1147">
                  <c:v>40532</c:v>
                </c:pt>
                <c:pt idx="1148">
                  <c:v>40533</c:v>
                </c:pt>
                <c:pt idx="1149">
                  <c:v>40534</c:v>
                </c:pt>
                <c:pt idx="1150">
                  <c:v>40535</c:v>
                </c:pt>
                <c:pt idx="1151">
                  <c:v>40539</c:v>
                </c:pt>
                <c:pt idx="1152">
                  <c:v>40540</c:v>
                </c:pt>
                <c:pt idx="1153">
                  <c:v>40541</c:v>
                </c:pt>
                <c:pt idx="1154">
                  <c:v>40542</c:v>
                </c:pt>
                <c:pt idx="1155">
                  <c:v>40543</c:v>
                </c:pt>
                <c:pt idx="1156">
                  <c:v>40546</c:v>
                </c:pt>
                <c:pt idx="1157">
                  <c:v>40547</c:v>
                </c:pt>
                <c:pt idx="1158">
                  <c:v>40548</c:v>
                </c:pt>
                <c:pt idx="1159">
                  <c:v>40549</c:v>
                </c:pt>
                <c:pt idx="1160">
                  <c:v>40550</c:v>
                </c:pt>
                <c:pt idx="1161">
                  <c:v>40553</c:v>
                </c:pt>
                <c:pt idx="1162">
                  <c:v>40554</c:v>
                </c:pt>
                <c:pt idx="1163">
                  <c:v>40555</c:v>
                </c:pt>
                <c:pt idx="1164">
                  <c:v>40556</c:v>
                </c:pt>
                <c:pt idx="1165">
                  <c:v>40557</c:v>
                </c:pt>
                <c:pt idx="1166">
                  <c:v>40561</c:v>
                </c:pt>
                <c:pt idx="1167">
                  <c:v>40562</c:v>
                </c:pt>
                <c:pt idx="1168">
                  <c:v>40563</c:v>
                </c:pt>
                <c:pt idx="1169">
                  <c:v>40564</c:v>
                </c:pt>
                <c:pt idx="1170">
                  <c:v>40567</c:v>
                </c:pt>
                <c:pt idx="1171">
                  <c:v>40568</c:v>
                </c:pt>
                <c:pt idx="1172">
                  <c:v>40569</c:v>
                </c:pt>
                <c:pt idx="1173">
                  <c:v>40570</c:v>
                </c:pt>
                <c:pt idx="1174">
                  <c:v>40571</c:v>
                </c:pt>
                <c:pt idx="1175">
                  <c:v>40574</c:v>
                </c:pt>
                <c:pt idx="1176">
                  <c:v>40575</c:v>
                </c:pt>
                <c:pt idx="1177">
                  <c:v>40576</c:v>
                </c:pt>
                <c:pt idx="1178">
                  <c:v>40577</c:v>
                </c:pt>
                <c:pt idx="1179">
                  <c:v>40578</c:v>
                </c:pt>
                <c:pt idx="1180">
                  <c:v>40581</c:v>
                </c:pt>
                <c:pt idx="1181">
                  <c:v>40582</c:v>
                </c:pt>
                <c:pt idx="1182">
                  <c:v>40583</c:v>
                </c:pt>
                <c:pt idx="1183">
                  <c:v>40584</c:v>
                </c:pt>
                <c:pt idx="1184">
                  <c:v>40585</c:v>
                </c:pt>
                <c:pt idx="1185">
                  <c:v>40588</c:v>
                </c:pt>
                <c:pt idx="1186">
                  <c:v>40589</c:v>
                </c:pt>
                <c:pt idx="1187">
                  <c:v>40590</c:v>
                </c:pt>
                <c:pt idx="1188">
                  <c:v>40591</c:v>
                </c:pt>
                <c:pt idx="1189">
                  <c:v>40592</c:v>
                </c:pt>
                <c:pt idx="1190">
                  <c:v>40596</c:v>
                </c:pt>
                <c:pt idx="1191">
                  <c:v>40597</c:v>
                </c:pt>
                <c:pt idx="1192">
                  <c:v>40598</c:v>
                </c:pt>
                <c:pt idx="1193">
                  <c:v>40599</c:v>
                </c:pt>
                <c:pt idx="1194">
                  <c:v>40602</c:v>
                </c:pt>
                <c:pt idx="1195">
                  <c:v>40603</c:v>
                </c:pt>
                <c:pt idx="1196">
                  <c:v>40604</c:v>
                </c:pt>
                <c:pt idx="1197">
                  <c:v>40605</c:v>
                </c:pt>
                <c:pt idx="1198">
                  <c:v>40606</c:v>
                </c:pt>
                <c:pt idx="1199">
                  <c:v>40609</c:v>
                </c:pt>
                <c:pt idx="1200">
                  <c:v>40610</c:v>
                </c:pt>
                <c:pt idx="1201">
                  <c:v>40611</c:v>
                </c:pt>
                <c:pt idx="1202">
                  <c:v>40612</c:v>
                </c:pt>
                <c:pt idx="1203">
                  <c:v>40613</c:v>
                </c:pt>
                <c:pt idx="1204">
                  <c:v>40616</c:v>
                </c:pt>
                <c:pt idx="1205">
                  <c:v>40617</c:v>
                </c:pt>
                <c:pt idx="1206">
                  <c:v>40618</c:v>
                </c:pt>
                <c:pt idx="1207">
                  <c:v>40619</c:v>
                </c:pt>
                <c:pt idx="1208">
                  <c:v>40620</c:v>
                </c:pt>
                <c:pt idx="1209">
                  <c:v>40623</c:v>
                </c:pt>
                <c:pt idx="1210">
                  <c:v>40624</c:v>
                </c:pt>
                <c:pt idx="1211">
                  <c:v>40625</c:v>
                </c:pt>
                <c:pt idx="1212">
                  <c:v>40626</c:v>
                </c:pt>
                <c:pt idx="1213">
                  <c:v>40627</c:v>
                </c:pt>
                <c:pt idx="1214">
                  <c:v>40630</c:v>
                </c:pt>
                <c:pt idx="1215">
                  <c:v>40631</c:v>
                </c:pt>
                <c:pt idx="1216">
                  <c:v>40632</c:v>
                </c:pt>
                <c:pt idx="1217">
                  <c:v>40633</c:v>
                </c:pt>
                <c:pt idx="1218">
                  <c:v>40634</c:v>
                </c:pt>
                <c:pt idx="1219">
                  <c:v>40637</c:v>
                </c:pt>
                <c:pt idx="1220">
                  <c:v>40638</c:v>
                </c:pt>
                <c:pt idx="1221">
                  <c:v>40639</c:v>
                </c:pt>
                <c:pt idx="1222">
                  <c:v>40640</c:v>
                </c:pt>
                <c:pt idx="1223">
                  <c:v>40641</c:v>
                </c:pt>
                <c:pt idx="1224">
                  <c:v>40644</c:v>
                </c:pt>
                <c:pt idx="1225">
                  <c:v>40645</c:v>
                </c:pt>
                <c:pt idx="1226">
                  <c:v>40646</c:v>
                </c:pt>
                <c:pt idx="1227">
                  <c:v>40647</c:v>
                </c:pt>
                <c:pt idx="1228">
                  <c:v>40648</c:v>
                </c:pt>
                <c:pt idx="1229">
                  <c:v>40651</c:v>
                </c:pt>
                <c:pt idx="1230">
                  <c:v>40652</c:v>
                </c:pt>
                <c:pt idx="1231">
                  <c:v>40653</c:v>
                </c:pt>
                <c:pt idx="1232">
                  <c:v>40654</c:v>
                </c:pt>
                <c:pt idx="1233">
                  <c:v>40658</c:v>
                </c:pt>
                <c:pt idx="1234">
                  <c:v>40659</c:v>
                </c:pt>
                <c:pt idx="1235">
                  <c:v>40660</c:v>
                </c:pt>
                <c:pt idx="1236">
                  <c:v>40661</c:v>
                </c:pt>
                <c:pt idx="1237">
                  <c:v>40662</c:v>
                </c:pt>
                <c:pt idx="1238">
                  <c:v>40665</c:v>
                </c:pt>
                <c:pt idx="1239">
                  <c:v>40666</c:v>
                </c:pt>
                <c:pt idx="1240">
                  <c:v>40667</c:v>
                </c:pt>
                <c:pt idx="1241">
                  <c:v>40668</c:v>
                </c:pt>
                <c:pt idx="1242">
                  <c:v>40669</c:v>
                </c:pt>
                <c:pt idx="1243">
                  <c:v>40672</c:v>
                </c:pt>
                <c:pt idx="1244">
                  <c:v>40673</c:v>
                </c:pt>
                <c:pt idx="1245">
                  <c:v>40674</c:v>
                </c:pt>
                <c:pt idx="1246">
                  <c:v>40675</c:v>
                </c:pt>
                <c:pt idx="1247">
                  <c:v>40676</c:v>
                </c:pt>
                <c:pt idx="1248">
                  <c:v>40679</c:v>
                </c:pt>
                <c:pt idx="1249">
                  <c:v>40680</c:v>
                </c:pt>
                <c:pt idx="1250">
                  <c:v>40681</c:v>
                </c:pt>
                <c:pt idx="1251">
                  <c:v>40682</c:v>
                </c:pt>
                <c:pt idx="1252">
                  <c:v>40683</c:v>
                </c:pt>
                <c:pt idx="1253">
                  <c:v>40686</c:v>
                </c:pt>
                <c:pt idx="1254">
                  <c:v>40687</c:v>
                </c:pt>
                <c:pt idx="1255">
                  <c:v>40688</c:v>
                </c:pt>
                <c:pt idx="1256">
                  <c:v>40689</c:v>
                </c:pt>
                <c:pt idx="1257">
                  <c:v>40690</c:v>
                </c:pt>
                <c:pt idx="1258">
                  <c:v>40694</c:v>
                </c:pt>
                <c:pt idx="1259">
                  <c:v>40695</c:v>
                </c:pt>
                <c:pt idx="1260">
                  <c:v>40696</c:v>
                </c:pt>
                <c:pt idx="1261">
                  <c:v>40697</c:v>
                </c:pt>
                <c:pt idx="1262">
                  <c:v>40700</c:v>
                </c:pt>
                <c:pt idx="1263">
                  <c:v>40701</c:v>
                </c:pt>
                <c:pt idx="1264">
                  <c:v>40702</c:v>
                </c:pt>
                <c:pt idx="1265">
                  <c:v>40703</c:v>
                </c:pt>
                <c:pt idx="1266">
                  <c:v>40704</c:v>
                </c:pt>
                <c:pt idx="1267">
                  <c:v>40707</c:v>
                </c:pt>
                <c:pt idx="1268">
                  <c:v>40708</c:v>
                </c:pt>
                <c:pt idx="1269">
                  <c:v>40709</c:v>
                </c:pt>
                <c:pt idx="1270">
                  <c:v>40710</c:v>
                </c:pt>
                <c:pt idx="1271">
                  <c:v>40711</c:v>
                </c:pt>
                <c:pt idx="1272">
                  <c:v>40714</c:v>
                </c:pt>
                <c:pt idx="1273">
                  <c:v>40715</c:v>
                </c:pt>
                <c:pt idx="1274">
                  <c:v>40716</c:v>
                </c:pt>
                <c:pt idx="1275">
                  <c:v>40717</c:v>
                </c:pt>
                <c:pt idx="1276">
                  <c:v>40718</c:v>
                </c:pt>
                <c:pt idx="1277">
                  <c:v>40721</c:v>
                </c:pt>
                <c:pt idx="1278">
                  <c:v>40722</c:v>
                </c:pt>
                <c:pt idx="1279">
                  <c:v>40723</c:v>
                </c:pt>
                <c:pt idx="1280">
                  <c:v>40724</c:v>
                </c:pt>
                <c:pt idx="1281">
                  <c:v>40725</c:v>
                </c:pt>
                <c:pt idx="1282">
                  <c:v>40729</c:v>
                </c:pt>
                <c:pt idx="1283">
                  <c:v>40730</c:v>
                </c:pt>
                <c:pt idx="1284">
                  <c:v>40731</c:v>
                </c:pt>
                <c:pt idx="1285">
                  <c:v>40732</c:v>
                </c:pt>
                <c:pt idx="1286">
                  <c:v>40735</c:v>
                </c:pt>
                <c:pt idx="1287">
                  <c:v>40736</c:v>
                </c:pt>
                <c:pt idx="1288">
                  <c:v>40737</c:v>
                </c:pt>
                <c:pt idx="1289">
                  <c:v>40738</c:v>
                </c:pt>
                <c:pt idx="1290">
                  <c:v>40739</c:v>
                </c:pt>
                <c:pt idx="1291">
                  <c:v>40742</c:v>
                </c:pt>
                <c:pt idx="1292">
                  <c:v>40743</c:v>
                </c:pt>
                <c:pt idx="1293">
                  <c:v>40744</c:v>
                </c:pt>
                <c:pt idx="1294">
                  <c:v>40745</c:v>
                </c:pt>
                <c:pt idx="1295">
                  <c:v>40746</c:v>
                </c:pt>
                <c:pt idx="1296">
                  <c:v>40749</c:v>
                </c:pt>
                <c:pt idx="1297">
                  <c:v>40750</c:v>
                </c:pt>
                <c:pt idx="1298">
                  <c:v>40751</c:v>
                </c:pt>
                <c:pt idx="1299">
                  <c:v>40752</c:v>
                </c:pt>
                <c:pt idx="1300">
                  <c:v>40753</c:v>
                </c:pt>
                <c:pt idx="1301">
                  <c:v>40756</c:v>
                </c:pt>
                <c:pt idx="1302">
                  <c:v>40757</c:v>
                </c:pt>
                <c:pt idx="1303">
                  <c:v>40758</c:v>
                </c:pt>
                <c:pt idx="1304">
                  <c:v>40759</c:v>
                </c:pt>
                <c:pt idx="1305">
                  <c:v>40760</c:v>
                </c:pt>
                <c:pt idx="1306">
                  <c:v>40763</c:v>
                </c:pt>
                <c:pt idx="1307">
                  <c:v>40764</c:v>
                </c:pt>
                <c:pt idx="1308">
                  <c:v>40765</c:v>
                </c:pt>
                <c:pt idx="1309">
                  <c:v>40766</c:v>
                </c:pt>
                <c:pt idx="1310">
                  <c:v>40767</c:v>
                </c:pt>
                <c:pt idx="1311">
                  <c:v>40770</c:v>
                </c:pt>
                <c:pt idx="1312">
                  <c:v>40771</c:v>
                </c:pt>
                <c:pt idx="1313">
                  <c:v>40772</c:v>
                </c:pt>
                <c:pt idx="1314">
                  <c:v>40773</c:v>
                </c:pt>
                <c:pt idx="1315">
                  <c:v>40774</c:v>
                </c:pt>
                <c:pt idx="1316">
                  <c:v>40777</c:v>
                </c:pt>
                <c:pt idx="1317">
                  <c:v>40778</c:v>
                </c:pt>
                <c:pt idx="1318">
                  <c:v>40779</c:v>
                </c:pt>
                <c:pt idx="1319">
                  <c:v>40780</c:v>
                </c:pt>
                <c:pt idx="1320">
                  <c:v>40781</c:v>
                </c:pt>
                <c:pt idx="1321">
                  <c:v>40784</c:v>
                </c:pt>
                <c:pt idx="1322">
                  <c:v>40785</c:v>
                </c:pt>
                <c:pt idx="1323">
                  <c:v>40786</c:v>
                </c:pt>
                <c:pt idx="1324">
                  <c:v>40787</c:v>
                </c:pt>
                <c:pt idx="1325">
                  <c:v>40788</c:v>
                </c:pt>
                <c:pt idx="1326">
                  <c:v>40792</c:v>
                </c:pt>
                <c:pt idx="1327">
                  <c:v>40793</c:v>
                </c:pt>
                <c:pt idx="1328">
                  <c:v>40794</c:v>
                </c:pt>
                <c:pt idx="1329">
                  <c:v>40795</c:v>
                </c:pt>
                <c:pt idx="1330">
                  <c:v>40798</c:v>
                </c:pt>
                <c:pt idx="1331">
                  <c:v>40799</c:v>
                </c:pt>
                <c:pt idx="1332">
                  <c:v>40800</c:v>
                </c:pt>
                <c:pt idx="1333">
                  <c:v>40801</c:v>
                </c:pt>
                <c:pt idx="1334">
                  <c:v>40802</c:v>
                </c:pt>
                <c:pt idx="1335">
                  <c:v>40805</c:v>
                </c:pt>
                <c:pt idx="1336">
                  <c:v>40806</c:v>
                </c:pt>
                <c:pt idx="1337">
                  <c:v>40807</c:v>
                </c:pt>
                <c:pt idx="1338">
                  <c:v>40808</c:v>
                </c:pt>
                <c:pt idx="1339">
                  <c:v>40809</c:v>
                </c:pt>
                <c:pt idx="1340">
                  <c:v>40812</c:v>
                </c:pt>
                <c:pt idx="1341">
                  <c:v>40813</c:v>
                </c:pt>
                <c:pt idx="1342">
                  <c:v>40814</c:v>
                </c:pt>
                <c:pt idx="1343">
                  <c:v>40815</c:v>
                </c:pt>
                <c:pt idx="1344">
                  <c:v>40816</c:v>
                </c:pt>
                <c:pt idx="1345">
                  <c:v>40819</c:v>
                </c:pt>
                <c:pt idx="1346">
                  <c:v>40820</c:v>
                </c:pt>
                <c:pt idx="1347">
                  <c:v>40821</c:v>
                </c:pt>
                <c:pt idx="1348">
                  <c:v>40822</c:v>
                </c:pt>
                <c:pt idx="1349">
                  <c:v>40823</c:v>
                </c:pt>
                <c:pt idx="1350">
                  <c:v>40826</c:v>
                </c:pt>
                <c:pt idx="1351">
                  <c:v>40827</c:v>
                </c:pt>
                <c:pt idx="1352">
                  <c:v>40828</c:v>
                </c:pt>
                <c:pt idx="1353">
                  <c:v>40829</c:v>
                </c:pt>
                <c:pt idx="1354">
                  <c:v>40830</c:v>
                </c:pt>
                <c:pt idx="1355">
                  <c:v>40833</c:v>
                </c:pt>
                <c:pt idx="1356">
                  <c:v>40834</c:v>
                </c:pt>
                <c:pt idx="1357">
                  <c:v>40835</c:v>
                </c:pt>
                <c:pt idx="1358">
                  <c:v>40836</c:v>
                </c:pt>
                <c:pt idx="1359">
                  <c:v>40837</c:v>
                </c:pt>
                <c:pt idx="1360">
                  <c:v>40840</c:v>
                </c:pt>
                <c:pt idx="1361">
                  <c:v>40841</c:v>
                </c:pt>
                <c:pt idx="1362">
                  <c:v>40842</c:v>
                </c:pt>
                <c:pt idx="1363">
                  <c:v>40843</c:v>
                </c:pt>
                <c:pt idx="1364">
                  <c:v>40844</c:v>
                </c:pt>
                <c:pt idx="1365">
                  <c:v>40847</c:v>
                </c:pt>
                <c:pt idx="1366">
                  <c:v>40848</c:v>
                </c:pt>
                <c:pt idx="1367">
                  <c:v>40849</c:v>
                </c:pt>
                <c:pt idx="1368">
                  <c:v>40850</c:v>
                </c:pt>
                <c:pt idx="1369">
                  <c:v>40851</c:v>
                </c:pt>
                <c:pt idx="1370">
                  <c:v>40854</c:v>
                </c:pt>
                <c:pt idx="1371">
                  <c:v>40855</c:v>
                </c:pt>
                <c:pt idx="1372">
                  <c:v>40856</c:v>
                </c:pt>
                <c:pt idx="1373">
                  <c:v>40857</c:v>
                </c:pt>
                <c:pt idx="1374">
                  <c:v>40858</c:v>
                </c:pt>
                <c:pt idx="1375">
                  <c:v>40861</c:v>
                </c:pt>
                <c:pt idx="1376">
                  <c:v>40862</c:v>
                </c:pt>
                <c:pt idx="1377">
                  <c:v>40863</c:v>
                </c:pt>
                <c:pt idx="1378">
                  <c:v>40864</c:v>
                </c:pt>
                <c:pt idx="1379">
                  <c:v>40865</c:v>
                </c:pt>
                <c:pt idx="1380">
                  <c:v>40868</c:v>
                </c:pt>
                <c:pt idx="1381">
                  <c:v>40869</c:v>
                </c:pt>
                <c:pt idx="1382">
                  <c:v>40870</c:v>
                </c:pt>
                <c:pt idx="1383">
                  <c:v>40872</c:v>
                </c:pt>
                <c:pt idx="1384">
                  <c:v>40875</c:v>
                </c:pt>
                <c:pt idx="1385">
                  <c:v>40876</c:v>
                </c:pt>
                <c:pt idx="1386">
                  <c:v>40877</c:v>
                </c:pt>
                <c:pt idx="1387">
                  <c:v>40878</c:v>
                </c:pt>
                <c:pt idx="1388">
                  <c:v>40879</c:v>
                </c:pt>
                <c:pt idx="1389">
                  <c:v>40882</c:v>
                </c:pt>
                <c:pt idx="1390">
                  <c:v>40883</c:v>
                </c:pt>
                <c:pt idx="1391">
                  <c:v>40884</c:v>
                </c:pt>
                <c:pt idx="1392">
                  <c:v>40885</c:v>
                </c:pt>
                <c:pt idx="1393">
                  <c:v>40886</c:v>
                </c:pt>
                <c:pt idx="1394">
                  <c:v>40889</c:v>
                </c:pt>
                <c:pt idx="1395">
                  <c:v>40890</c:v>
                </c:pt>
                <c:pt idx="1396">
                  <c:v>40891</c:v>
                </c:pt>
                <c:pt idx="1397">
                  <c:v>40892</c:v>
                </c:pt>
                <c:pt idx="1398">
                  <c:v>40893</c:v>
                </c:pt>
                <c:pt idx="1399">
                  <c:v>40896</c:v>
                </c:pt>
                <c:pt idx="1400">
                  <c:v>40897</c:v>
                </c:pt>
                <c:pt idx="1401">
                  <c:v>40898</c:v>
                </c:pt>
                <c:pt idx="1402">
                  <c:v>40899</c:v>
                </c:pt>
                <c:pt idx="1403">
                  <c:v>40900</c:v>
                </c:pt>
                <c:pt idx="1404">
                  <c:v>40904</c:v>
                </c:pt>
                <c:pt idx="1405">
                  <c:v>40905</c:v>
                </c:pt>
                <c:pt idx="1406">
                  <c:v>40906</c:v>
                </c:pt>
                <c:pt idx="1407">
                  <c:v>40907</c:v>
                </c:pt>
                <c:pt idx="1408">
                  <c:v>40911</c:v>
                </c:pt>
                <c:pt idx="1409">
                  <c:v>40912</c:v>
                </c:pt>
                <c:pt idx="1410">
                  <c:v>40913</c:v>
                </c:pt>
                <c:pt idx="1411">
                  <c:v>40914</c:v>
                </c:pt>
                <c:pt idx="1412">
                  <c:v>40917</c:v>
                </c:pt>
                <c:pt idx="1413">
                  <c:v>40918</c:v>
                </c:pt>
                <c:pt idx="1414">
                  <c:v>40919</c:v>
                </c:pt>
                <c:pt idx="1415">
                  <c:v>40920</c:v>
                </c:pt>
                <c:pt idx="1416">
                  <c:v>40921</c:v>
                </c:pt>
                <c:pt idx="1417">
                  <c:v>40925</c:v>
                </c:pt>
                <c:pt idx="1418">
                  <c:v>40926</c:v>
                </c:pt>
                <c:pt idx="1419">
                  <c:v>40927</c:v>
                </c:pt>
                <c:pt idx="1420">
                  <c:v>40928</c:v>
                </c:pt>
                <c:pt idx="1421">
                  <c:v>40931</c:v>
                </c:pt>
                <c:pt idx="1422">
                  <c:v>40932</c:v>
                </c:pt>
                <c:pt idx="1423">
                  <c:v>40933</c:v>
                </c:pt>
                <c:pt idx="1424">
                  <c:v>40934</c:v>
                </c:pt>
                <c:pt idx="1425">
                  <c:v>40935</c:v>
                </c:pt>
                <c:pt idx="1426">
                  <c:v>40938</c:v>
                </c:pt>
                <c:pt idx="1427">
                  <c:v>40939</c:v>
                </c:pt>
                <c:pt idx="1428">
                  <c:v>40940</c:v>
                </c:pt>
                <c:pt idx="1429">
                  <c:v>40941</c:v>
                </c:pt>
                <c:pt idx="1430">
                  <c:v>40942</c:v>
                </c:pt>
                <c:pt idx="1431">
                  <c:v>40945</c:v>
                </c:pt>
                <c:pt idx="1432">
                  <c:v>40946</c:v>
                </c:pt>
                <c:pt idx="1433">
                  <c:v>40947</c:v>
                </c:pt>
                <c:pt idx="1434">
                  <c:v>40948</c:v>
                </c:pt>
                <c:pt idx="1435">
                  <c:v>40949</c:v>
                </c:pt>
                <c:pt idx="1436">
                  <c:v>40952</c:v>
                </c:pt>
                <c:pt idx="1437">
                  <c:v>40953</c:v>
                </c:pt>
                <c:pt idx="1438">
                  <c:v>40954</c:v>
                </c:pt>
                <c:pt idx="1439">
                  <c:v>40955</c:v>
                </c:pt>
                <c:pt idx="1440">
                  <c:v>40956</c:v>
                </c:pt>
                <c:pt idx="1441">
                  <c:v>40960</c:v>
                </c:pt>
                <c:pt idx="1442">
                  <c:v>40961</c:v>
                </c:pt>
                <c:pt idx="1443">
                  <c:v>40962</c:v>
                </c:pt>
                <c:pt idx="1444">
                  <c:v>40963</c:v>
                </c:pt>
                <c:pt idx="1445">
                  <c:v>40966</c:v>
                </c:pt>
                <c:pt idx="1446">
                  <c:v>40967</c:v>
                </c:pt>
                <c:pt idx="1447">
                  <c:v>40968</c:v>
                </c:pt>
                <c:pt idx="1448">
                  <c:v>40969</c:v>
                </c:pt>
                <c:pt idx="1449">
                  <c:v>40970</c:v>
                </c:pt>
                <c:pt idx="1450">
                  <c:v>40973</c:v>
                </c:pt>
                <c:pt idx="1451">
                  <c:v>40974</c:v>
                </c:pt>
                <c:pt idx="1452">
                  <c:v>40975</c:v>
                </c:pt>
                <c:pt idx="1453">
                  <c:v>40976</c:v>
                </c:pt>
                <c:pt idx="1454">
                  <c:v>40977</c:v>
                </c:pt>
                <c:pt idx="1455">
                  <c:v>40980</c:v>
                </c:pt>
                <c:pt idx="1456">
                  <c:v>40981</c:v>
                </c:pt>
                <c:pt idx="1457">
                  <c:v>40982</c:v>
                </c:pt>
                <c:pt idx="1458">
                  <c:v>40983</c:v>
                </c:pt>
                <c:pt idx="1459">
                  <c:v>40984</c:v>
                </c:pt>
                <c:pt idx="1460">
                  <c:v>40987</c:v>
                </c:pt>
                <c:pt idx="1461">
                  <c:v>40988</c:v>
                </c:pt>
                <c:pt idx="1462">
                  <c:v>40989</c:v>
                </c:pt>
                <c:pt idx="1463">
                  <c:v>40990</c:v>
                </c:pt>
                <c:pt idx="1464">
                  <c:v>40991</c:v>
                </c:pt>
                <c:pt idx="1465">
                  <c:v>40994</c:v>
                </c:pt>
                <c:pt idx="1466">
                  <c:v>40995</c:v>
                </c:pt>
                <c:pt idx="1467">
                  <c:v>40996</c:v>
                </c:pt>
                <c:pt idx="1468">
                  <c:v>40997</c:v>
                </c:pt>
                <c:pt idx="1469">
                  <c:v>40998</c:v>
                </c:pt>
                <c:pt idx="1470">
                  <c:v>41001</c:v>
                </c:pt>
                <c:pt idx="1471">
                  <c:v>41002</c:v>
                </c:pt>
                <c:pt idx="1472">
                  <c:v>41003</c:v>
                </c:pt>
                <c:pt idx="1473">
                  <c:v>41004</c:v>
                </c:pt>
                <c:pt idx="1474">
                  <c:v>41008</c:v>
                </c:pt>
                <c:pt idx="1475">
                  <c:v>41009</c:v>
                </c:pt>
                <c:pt idx="1476">
                  <c:v>41010</c:v>
                </c:pt>
                <c:pt idx="1477">
                  <c:v>41011</c:v>
                </c:pt>
                <c:pt idx="1478">
                  <c:v>41012</c:v>
                </c:pt>
                <c:pt idx="1479">
                  <c:v>41015</c:v>
                </c:pt>
                <c:pt idx="1480">
                  <c:v>41016</c:v>
                </c:pt>
                <c:pt idx="1481">
                  <c:v>41017</c:v>
                </c:pt>
                <c:pt idx="1482">
                  <c:v>41018</c:v>
                </c:pt>
                <c:pt idx="1483">
                  <c:v>41019</c:v>
                </c:pt>
                <c:pt idx="1484">
                  <c:v>41022</c:v>
                </c:pt>
                <c:pt idx="1485">
                  <c:v>41023</c:v>
                </c:pt>
                <c:pt idx="1486">
                  <c:v>41024</c:v>
                </c:pt>
                <c:pt idx="1487">
                  <c:v>41025</c:v>
                </c:pt>
                <c:pt idx="1488">
                  <c:v>41026</c:v>
                </c:pt>
                <c:pt idx="1489">
                  <c:v>41029</c:v>
                </c:pt>
                <c:pt idx="1490">
                  <c:v>41030</c:v>
                </c:pt>
                <c:pt idx="1491">
                  <c:v>41031</c:v>
                </c:pt>
                <c:pt idx="1492">
                  <c:v>41032</c:v>
                </c:pt>
                <c:pt idx="1493">
                  <c:v>41033</c:v>
                </c:pt>
                <c:pt idx="1494">
                  <c:v>41036</c:v>
                </c:pt>
                <c:pt idx="1495">
                  <c:v>41037</c:v>
                </c:pt>
                <c:pt idx="1496">
                  <c:v>41038</c:v>
                </c:pt>
                <c:pt idx="1497">
                  <c:v>41039</c:v>
                </c:pt>
                <c:pt idx="1498">
                  <c:v>41040</c:v>
                </c:pt>
                <c:pt idx="1499">
                  <c:v>41043</c:v>
                </c:pt>
                <c:pt idx="1500">
                  <c:v>41044</c:v>
                </c:pt>
                <c:pt idx="1501">
                  <c:v>41045</c:v>
                </c:pt>
                <c:pt idx="1502">
                  <c:v>41046</c:v>
                </c:pt>
                <c:pt idx="1503">
                  <c:v>41047</c:v>
                </c:pt>
                <c:pt idx="1504">
                  <c:v>41050</c:v>
                </c:pt>
                <c:pt idx="1505">
                  <c:v>41051</c:v>
                </c:pt>
                <c:pt idx="1506">
                  <c:v>41052</c:v>
                </c:pt>
                <c:pt idx="1507">
                  <c:v>41053</c:v>
                </c:pt>
                <c:pt idx="1508">
                  <c:v>41054</c:v>
                </c:pt>
                <c:pt idx="1509">
                  <c:v>41058</c:v>
                </c:pt>
                <c:pt idx="1510">
                  <c:v>41059</c:v>
                </c:pt>
                <c:pt idx="1511">
                  <c:v>41060</c:v>
                </c:pt>
                <c:pt idx="1512">
                  <c:v>41061</c:v>
                </c:pt>
                <c:pt idx="1513">
                  <c:v>41064</c:v>
                </c:pt>
                <c:pt idx="1514">
                  <c:v>41065</c:v>
                </c:pt>
                <c:pt idx="1515">
                  <c:v>41066</c:v>
                </c:pt>
                <c:pt idx="1516">
                  <c:v>41067</c:v>
                </c:pt>
                <c:pt idx="1517">
                  <c:v>41068</c:v>
                </c:pt>
                <c:pt idx="1518">
                  <c:v>41071</c:v>
                </c:pt>
                <c:pt idx="1519">
                  <c:v>41072</c:v>
                </c:pt>
                <c:pt idx="1520">
                  <c:v>41073</c:v>
                </c:pt>
                <c:pt idx="1521">
                  <c:v>41074</c:v>
                </c:pt>
                <c:pt idx="1522">
                  <c:v>41075</c:v>
                </c:pt>
                <c:pt idx="1523">
                  <c:v>41078</c:v>
                </c:pt>
                <c:pt idx="1524">
                  <c:v>41079</c:v>
                </c:pt>
                <c:pt idx="1525">
                  <c:v>41080</c:v>
                </c:pt>
                <c:pt idx="1526">
                  <c:v>41081</c:v>
                </c:pt>
                <c:pt idx="1527">
                  <c:v>41082</c:v>
                </c:pt>
                <c:pt idx="1528">
                  <c:v>41085</c:v>
                </c:pt>
                <c:pt idx="1529">
                  <c:v>41086</c:v>
                </c:pt>
                <c:pt idx="1530">
                  <c:v>41087</c:v>
                </c:pt>
                <c:pt idx="1531">
                  <c:v>41088</c:v>
                </c:pt>
                <c:pt idx="1532">
                  <c:v>41089</c:v>
                </c:pt>
                <c:pt idx="1533">
                  <c:v>41092</c:v>
                </c:pt>
                <c:pt idx="1534">
                  <c:v>41093</c:v>
                </c:pt>
                <c:pt idx="1535">
                  <c:v>41095</c:v>
                </c:pt>
                <c:pt idx="1536">
                  <c:v>41096</c:v>
                </c:pt>
                <c:pt idx="1537">
                  <c:v>41099</c:v>
                </c:pt>
                <c:pt idx="1538">
                  <c:v>41100</c:v>
                </c:pt>
                <c:pt idx="1539">
                  <c:v>41101</c:v>
                </c:pt>
                <c:pt idx="1540">
                  <c:v>41102</c:v>
                </c:pt>
                <c:pt idx="1541">
                  <c:v>41103</c:v>
                </c:pt>
                <c:pt idx="1542">
                  <c:v>41106</c:v>
                </c:pt>
                <c:pt idx="1543">
                  <c:v>41107</c:v>
                </c:pt>
                <c:pt idx="1544">
                  <c:v>41108</c:v>
                </c:pt>
                <c:pt idx="1545">
                  <c:v>41109</c:v>
                </c:pt>
                <c:pt idx="1546">
                  <c:v>41110</c:v>
                </c:pt>
                <c:pt idx="1547">
                  <c:v>41113</c:v>
                </c:pt>
                <c:pt idx="1548">
                  <c:v>41114</c:v>
                </c:pt>
                <c:pt idx="1549">
                  <c:v>41115</c:v>
                </c:pt>
                <c:pt idx="1550">
                  <c:v>41116</c:v>
                </c:pt>
                <c:pt idx="1551">
                  <c:v>41117</c:v>
                </c:pt>
                <c:pt idx="1552">
                  <c:v>41120</c:v>
                </c:pt>
                <c:pt idx="1553">
                  <c:v>41121</c:v>
                </c:pt>
                <c:pt idx="1554">
                  <c:v>41122</c:v>
                </c:pt>
                <c:pt idx="1555">
                  <c:v>41123</c:v>
                </c:pt>
                <c:pt idx="1556">
                  <c:v>41124</c:v>
                </c:pt>
                <c:pt idx="1557">
                  <c:v>41127</c:v>
                </c:pt>
                <c:pt idx="1558">
                  <c:v>41128</c:v>
                </c:pt>
                <c:pt idx="1559">
                  <c:v>41129</c:v>
                </c:pt>
                <c:pt idx="1560">
                  <c:v>41130</c:v>
                </c:pt>
                <c:pt idx="1561">
                  <c:v>41131</c:v>
                </c:pt>
                <c:pt idx="1562">
                  <c:v>41134</c:v>
                </c:pt>
                <c:pt idx="1563">
                  <c:v>41135</c:v>
                </c:pt>
                <c:pt idx="1564">
                  <c:v>41136</c:v>
                </c:pt>
                <c:pt idx="1565">
                  <c:v>41137</c:v>
                </c:pt>
                <c:pt idx="1566">
                  <c:v>41138</c:v>
                </c:pt>
                <c:pt idx="1567">
                  <c:v>41141</c:v>
                </c:pt>
                <c:pt idx="1568">
                  <c:v>41142</c:v>
                </c:pt>
                <c:pt idx="1569">
                  <c:v>41143</c:v>
                </c:pt>
                <c:pt idx="1570">
                  <c:v>41144</c:v>
                </c:pt>
                <c:pt idx="1571">
                  <c:v>41145</c:v>
                </c:pt>
                <c:pt idx="1572">
                  <c:v>41148</c:v>
                </c:pt>
                <c:pt idx="1573">
                  <c:v>41149</c:v>
                </c:pt>
                <c:pt idx="1574">
                  <c:v>41150</c:v>
                </c:pt>
                <c:pt idx="1575">
                  <c:v>41151</c:v>
                </c:pt>
                <c:pt idx="1576">
                  <c:v>41152</c:v>
                </c:pt>
                <c:pt idx="1577">
                  <c:v>41156</c:v>
                </c:pt>
                <c:pt idx="1578">
                  <c:v>41157</c:v>
                </c:pt>
                <c:pt idx="1579">
                  <c:v>41158</c:v>
                </c:pt>
                <c:pt idx="1580">
                  <c:v>41159</c:v>
                </c:pt>
                <c:pt idx="1581">
                  <c:v>41162</c:v>
                </c:pt>
                <c:pt idx="1582">
                  <c:v>41163</c:v>
                </c:pt>
                <c:pt idx="1583">
                  <c:v>41164</c:v>
                </c:pt>
                <c:pt idx="1584">
                  <c:v>41165</c:v>
                </c:pt>
                <c:pt idx="1585">
                  <c:v>41166</c:v>
                </c:pt>
                <c:pt idx="1586">
                  <c:v>41169</c:v>
                </c:pt>
                <c:pt idx="1587">
                  <c:v>41170</c:v>
                </c:pt>
                <c:pt idx="1588">
                  <c:v>41171</c:v>
                </c:pt>
                <c:pt idx="1589">
                  <c:v>41172</c:v>
                </c:pt>
                <c:pt idx="1590">
                  <c:v>41173</c:v>
                </c:pt>
                <c:pt idx="1591">
                  <c:v>41176</c:v>
                </c:pt>
                <c:pt idx="1592">
                  <c:v>41177</c:v>
                </c:pt>
                <c:pt idx="1593">
                  <c:v>41178</c:v>
                </c:pt>
                <c:pt idx="1594">
                  <c:v>41179</c:v>
                </c:pt>
                <c:pt idx="1595">
                  <c:v>41180</c:v>
                </c:pt>
                <c:pt idx="1596">
                  <c:v>41183</c:v>
                </c:pt>
                <c:pt idx="1597">
                  <c:v>41184</c:v>
                </c:pt>
                <c:pt idx="1598">
                  <c:v>41185</c:v>
                </c:pt>
                <c:pt idx="1599">
                  <c:v>41186</c:v>
                </c:pt>
                <c:pt idx="1600">
                  <c:v>41187</c:v>
                </c:pt>
                <c:pt idx="1601">
                  <c:v>41190</c:v>
                </c:pt>
                <c:pt idx="1602">
                  <c:v>41191</c:v>
                </c:pt>
                <c:pt idx="1603">
                  <c:v>41192</c:v>
                </c:pt>
                <c:pt idx="1604">
                  <c:v>41193</c:v>
                </c:pt>
                <c:pt idx="1605">
                  <c:v>41194</c:v>
                </c:pt>
                <c:pt idx="1606">
                  <c:v>41197</c:v>
                </c:pt>
                <c:pt idx="1607">
                  <c:v>41198</c:v>
                </c:pt>
                <c:pt idx="1608">
                  <c:v>41199</c:v>
                </c:pt>
                <c:pt idx="1609">
                  <c:v>41200</c:v>
                </c:pt>
                <c:pt idx="1610">
                  <c:v>41201</c:v>
                </c:pt>
                <c:pt idx="1611">
                  <c:v>41204</c:v>
                </c:pt>
                <c:pt idx="1612">
                  <c:v>41205</c:v>
                </c:pt>
                <c:pt idx="1613">
                  <c:v>41206</c:v>
                </c:pt>
                <c:pt idx="1614">
                  <c:v>41207</c:v>
                </c:pt>
                <c:pt idx="1615">
                  <c:v>41208</c:v>
                </c:pt>
                <c:pt idx="1616">
                  <c:v>41213</c:v>
                </c:pt>
                <c:pt idx="1617">
                  <c:v>41214</c:v>
                </c:pt>
                <c:pt idx="1618">
                  <c:v>41215</c:v>
                </c:pt>
                <c:pt idx="1619">
                  <c:v>41218</c:v>
                </c:pt>
                <c:pt idx="1620">
                  <c:v>41219</c:v>
                </c:pt>
                <c:pt idx="1621">
                  <c:v>41220</c:v>
                </c:pt>
                <c:pt idx="1622">
                  <c:v>41221</c:v>
                </c:pt>
                <c:pt idx="1623">
                  <c:v>41222</c:v>
                </c:pt>
                <c:pt idx="1624">
                  <c:v>41225</c:v>
                </c:pt>
                <c:pt idx="1625">
                  <c:v>41226</c:v>
                </c:pt>
                <c:pt idx="1626">
                  <c:v>41227</c:v>
                </c:pt>
                <c:pt idx="1627">
                  <c:v>41228</c:v>
                </c:pt>
                <c:pt idx="1628">
                  <c:v>41229</c:v>
                </c:pt>
                <c:pt idx="1629">
                  <c:v>41232</c:v>
                </c:pt>
                <c:pt idx="1630">
                  <c:v>41233</c:v>
                </c:pt>
                <c:pt idx="1631">
                  <c:v>41234</c:v>
                </c:pt>
                <c:pt idx="1632">
                  <c:v>41236</c:v>
                </c:pt>
                <c:pt idx="1633">
                  <c:v>41239</c:v>
                </c:pt>
                <c:pt idx="1634">
                  <c:v>41240</c:v>
                </c:pt>
                <c:pt idx="1635">
                  <c:v>41241</c:v>
                </c:pt>
                <c:pt idx="1636">
                  <c:v>41242</c:v>
                </c:pt>
                <c:pt idx="1637">
                  <c:v>41243</c:v>
                </c:pt>
                <c:pt idx="1638">
                  <c:v>41246</c:v>
                </c:pt>
                <c:pt idx="1639">
                  <c:v>41247</c:v>
                </c:pt>
                <c:pt idx="1640">
                  <c:v>41248</c:v>
                </c:pt>
                <c:pt idx="1641">
                  <c:v>41249</c:v>
                </c:pt>
                <c:pt idx="1642">
                  <c:v>41250</c:v>
                </c:pt>
                <c:pt idx="1643">
                  <c:v>41253</c:v>
                </c:pt>
                <c:pt idx="1644">
                  <c:v>41254</c:v>
                </c:pt>
                <c:pt idx="1645">
                  <c:v>41255</c:v>
                </c:pt>
                <c:pt idx="1646">
                  <c:v>41256</c:v>
                </c:pt>
                <c:pt idx="1647">
                  <c:v>41257</c:v>
                </c:pt>
                <c:pt idx="1648">
                  <c:v>41260</c:v>
                </c:pt>
                <c:pt idx="1649">
                  <c:v>41261</c:v>
                </c:pt>
                <c:pt idx="1650">
                  <c:v>41262</c:v>
                </c:pt>
                <c:pt idx="1651">
                  <c:v>41263</c:v>
                </c:pt>
                <c:pt idx="1652">
                  <c:v>41264</c:v>
                </c:pt>
                <c:pt idx="1653">
                  <c:v>41267</c:v>
                </c:pt>
                <c:pt idx="1654">
                  <c:v>41269</c:v>
                </c:pt>
                <c:pt idx="1655">
                  <c:v>41270</c:v>
                </c:pt>
                <c:pt idx="1656">
                  <c:v>41271</c:v>
                </c:pt>
                <c:pt idx="1657">
                  <c:v>41274</c:v>
                </c:pt>
                <c:pt idx="1658">
                  <c:v>41276</c:v>
                </c:pt>
                <c:pt idx="1659">
                  <c:v>41277</c:v>
                </c:pt>
                <c:pt idx="1660">
                  <c:v>41278</c:v>
                </c:pt>
                <c:pt idx="1661">
                  <c:v>41281</c:v>
                </c:pt>
                <c:pt idx="1662">
                  <c:v>41282</c:v>
                </c:pt>
                <c:pt idx="1663">
                  <c:v>41283</c:v>
                </c:pt>
                <c:pt idx="1664">
                  <c:v>41284</c:v>
                </c:pt>
                <c:pt idx="1665">
                  <c:v>41285</c:v>
                </c:pt>
                <c:pt idx="1666">
                  <c:v>41288</c:v>
                </c:pt>
                <c:pt idx="1667">
                  <c:v>41289</c:v>
                </c:pt>
                <c:pt idx="1668">
                  <c:v>41290</c:v>
                </c:pt>
                <c:pt idx="1669">
                  <c:v>41291</c:v>
                </c:pt>
                <c:pt idx="1670">
                  <c:v>41292</c:v>
                </c:pt>
                <c:pt idx="1671">
                  <c:v>41296</c:v>
                </c:pt>
                <c:pt idx="1672">
                  <c:v>41297</c:v>
                </c:pt>
                <c:pt idx="1673">
                  <c:v>41298</c:v>
                </c:pt>
                <c:pt idx="1674">
                  <c:v>41299</c:v>
                </c:pt>
                <c:pt idx="1675">
                  <c:v>41302</c:v>
                </c:pt>
                <c:pt idx="1676">
                  <c:v>41303</c:v>
                </c:pt>
                <c:pt idx="1677">
                  <c:v>41304</c:v>
                </c:pt>
                <c:pt idx="1678">
                  <c:v>41305</c:v>
                </c:pt>
                <c:pt idx="1679">
                  <c:v>41306</c:v>
                </c:pt>
                <c:pt idx="1680">
                  <c:v>41309</c:v>
                </c:pt>
                <c:pt idx="1681">
                  <c:v>41310</c:v>
                </c:pt>
                <c:pt idx="1682">
                  <c:v>41311</c:v>
                </c:pt>
                <c:pt idx="1683">
                  <c:v>41312</c:v>
                </c:pt>
                <c:pt idx="1684">
                  <c:v>41313</c:v>
                </c:pt>
                <c:pt idx="1685">
                  <c:v>41316</c:v>
                </c:pt>
                <c:pt idx="1686">
                  <c:v>41317</c:v>
                </c:pt>
                <c:pt idx="1687">
                  <c:v>41318</c:v>
                </c:pt>
                <c:pt idx="1688">
                  <c:v>41319</c:v>
                </c:pt>
                <c:pt idx="1689">
                  <c:v>41320</c:v>
                </c:pt>
                <c:pt idx="1690">
                  <c:v>41324</c:v>
                </c:pt>
                <c:pt idx="1691">
                  <c:v>41325</c:v>
                </c:pt>
                <c:pt idx="1692">
                  <c:v>41326</c:v>
                </c:pt>
                <c:pt idx="1693">
                  <c:v>41327</c:v>
                </c:pt>
                <c:pt idx="1694">
                  <c:v>41330</c:v>
                </c:pt>
                <c:pt idx="1695">
                  <c:v>41331</c:v>
                </c:pt>
                <c:pt idx="1696">
                  <c:v>41332</c:v>
                </c:pt>
                <c:pt idx="1697">
                  <c:v>41333</c:v>
                </c:pt>
                <c:pt idx="1698">
                  <c:v>41334</c:v>
                </c:pt>
                <c:pt idx="1699">
                  <c:v>41337</c:v>
                </c:pt>
                <c:pt idx="1700">
                  <c:v>41338</c:v>
                </c:pt>
                <c:pt idx="1701">
                  <c:v>41339</c:v>
                </c:pt>
                <c:pt idx="1702">
                  <c:v>41340</c:v>
                </c:pt>
                <c:pt idx="1703">
                  <c:v>41341</c:v>
                </c:pt>
                <c:pt idx="1704">
                  <c:v>41344</c:v>
                </c:pt>
                <c:pt idx="1705">
                  <c:v>41345</c:v>
                </c:pt>
                <c:pt idx="1706">
                  <c:v>41346</c:v>
                </c:pt>
                <c:pt idx="1707">
                  <c:v>41347</c:v>
                </c:pt>
                <c:pt idx="1708">
                  <c:v>41348</c:v>
                </c:pt>
                <c:pt idx="1709">
                  <c:v>41351</c:v>
                </c:pt>
                <c:pt idx="1710">
                  <c:v>41352</c:v>
                </c:pt>
                <c:pt idx="1711">
                  <c:v>41353</c:v>
                </c:pt>
                <c:pt idx="1712">
                  <c:v>41354</c:v>
                </c:pt>
                <c:pt idx="1713">
                  <c:v>41355</c:v>
                </c:pt>
                <c:pt idx="1714">
                  <c:v>41358</c:v>
                </c:pt>
                <c:pt idx="1715">
                  <c:v>41359</c:v>
                </c:pt>
                <c:pt idx="1716">
                  <c:v>41360</c:v>
                </c:pt>
                <c:pt idx="1717">
                  <c:v>41361</c:v>
                </c:pt>
                <c:pt idx="1718">
                  <c:v>41365</c:v>
                </c:pt>
                <c:pt idx="1719">
                  <c:v>41366</c:v>
                </c:pt>
                <c:pt idx="1720">
                  <c:v>41367</c:v>
                </c:pt>
                <c:pt idx="1721">
                  <c:v>41368</c:v>
                </c:pt>
                <c:pt idx="1722">
                  <c:v>41369</c:v>
                </c:pt>
                <c:pt idx="1723">
                  <c:v>41372</c:v>
                </c:pt>
                <c:pt idx="1724">
                  <c:v>41373</c:v>
                </c:pt>
                <c:pt idx="1725">
                  <c:v>41374</c:v>
                </c:pt>
                <c:pt idx="1726">
                  <c:v>41375</c:v>
                </c:pt>
                <c:pt idx="1727">
                  <c:v>41376</c:v>
                </c:pt>
                <c:pt idx="1728">
                  <c:v>41379</c:v>
                </c:pt>
                <c:pt idx="1729">
                  <c:v>41380</c:v>
                </c:pt>
                <c:pt idx="1730">
                  <c:v>41381</c:v>
                </c:pt>
                <c:pt idx="1731">
                  <c:v>41382</c:v>
                </c:pt>
                <c:pt idx="1732">
                  <c:v>41383</c:v>
                </c:pt>
                <c:pt idx="1733">
                  <c:v>41386</c:v>
                </c:pt>
                <c:pt idx="1734">
                  <c:v>41387</c:v>
                </c:pt>
                <c:pt idx="1735">
                  <c:v>41388</c:v>
                </c:pt>
                <c:pt idx="1736">
                  <c:v>41389</c:v>
                </c:pt>
                <c:pt idx="1737">
                  <c:v>41390</c:v>
                </c:pt>
                <c:pt idx="1738">
                  <c:v>41393</c:v>
                </c:pt>
                <c:pt idx="1739">
                  <c:v>41394</c:v>
                </c:pt>
                <c:pt idx="1740">
                  <c:v>41395</c:v>
                </c:pt>
                <c:pt idx="1741">
                  <c:v>41396</c:v>
                </c:pt>
                <c:pt idx="1742">
                  <c:v>41397</c:v>
                </c:pt>
                <c:pt idx="1743">
                  <c:v>41400</c:v>
                </c:pt>
                <c:pt idx="1744">
                  <c:v>41401</c:v>
                </c:pt>
                <c:pt idx="1745">
                  <c:v>41402</c:v>
                </c:pt>
                <c:pt idx="1746">
                  <c:v>41403</c:v>
                </c:pt>
                <c:pt idx="1747">
                  <c:v>41404</c:v>
                </c:pt>
                <c:pt idx="1748">
                  <c:v>41407</c:v>
                </c:pt>
                <c:pt idx="1749">
                  <c:v>41408</c:v>
                </c:pt>
                <c:pt idx="1750">
                  <c:v>41409</c:v>
                </c:pt>
                <c:pt idx="1751">
                  <c:v>41410</c:v>
                </c:pt>
                <c:pt idx="1752">
                  <c:v>41411</c:v>
                </c:pt>
                <c:pt idx="1753">
                  <c:v>41414</c:v>
                </c:pt>
                <c:pt idx="1754">
                  <c:v>41415</c:v>
                </c:pt>
                <c:pt idx="1755">
                  <c:v>41416</c:v>
                </c:pt>
                <c:pt idx="1756">
                  <c:v>41417</c:v>
                </c:pt>
                <c:pt idx="1757">
                  <c:v>41418</c:v>
                </c:pt>
                <c:pt idx="1758">
                  <c:v>41422</c:v>
                </c:pt>
                <c:pt idx="1759">
                  <c:v>41423</c:v>
                </c:pt>
                <c:pt idx="1760">
                  <c:v>41424</c:v>
                </c:pt>
                <c:pt idx="1761">
                  <c:v>41425</c:v>
                </c:pt>
                <c:pt idx="1762">
                  <c:v>41428</c:v>
                </c:pt>
                <c:pt idx="1763">
                  <c:v>41429</c:v>
                </c:pt>
                <c:pt idx="1764">
                  <c:v>41430</c:v>
                </c:pt>
                <c:pt idx="1765">
                  <c:v>41431</c:v>
                </c:pt>
                <c:pt idx="1766">
                  <c:v>41432</c:v>
                </c:pt>
                <c:pt idx="1767">
                  <c:v>41435</c:v>
                </c:pt>
                <c:pt idx="1768">
                  <c:v>41436</c:v>
                </c:pt>
                <c:pt idx="1769">
                  <c:v>41437</c:v>
                </c:pt>
                <c:pt idx="1770">
                  <c:v>41438</c:v>
                </c:pt>
                <c:pt idx="1771">
                  <c:v>41439</c:v>
                </c:pt>
                <c:pt idx="1772">
                  <c:v>41442</c:v>
                </c:pt>
                <c:pt idx="1773">
                  <c:v>41443</c:v>
                </c:pt>
                <c:pt idx="1774">
                  <c:v>41444</c:v>
                </c:pt>
                <c:pt idx="1775">
                  <c:v>41445</c:v>
                </c:pt>
                <c:pt idx="1776">
                  <c:v>41446</c:v>
                </c:pt>
                <c:pt idx="1777">
                  <c:v>41449</c:v>
                </c:pt>
                <c:pt idx="1778">
                  <c:v>41450</c:v>
                </c:pt>
                <c:pt idx="1779">
                  <c:v>41451</c:v>
                </c:pt>
                <c:pt idx="1780">
                  <c:v>41452</c:v>
                </c:pt>
                <c:pt idx="1781">
                  <c:v>41453</c:v>
                </c:pt>
                <c:pt idx="1782">
                  <c:v>41456</c:v>
                </c:pt>
                <c:pt idx="1783">
                  <c:v>41457</c:v>
                </c:pt>
                <c:pt idx="1784">
                  <c:v>41458</c:v>
                </c:pt>
                <c:pt idx="1785">
                  <c:v>41460</c:v>
                </c:pt>
                <c:pt idx="1786">
                  <c:v>41463</c:v>
                </c:pt>
                <c:pt idx="1787">
                  <c:v>41464</c:v>
                </c:pt>
                <c:pt idx="1788">
                  <c:v>41465</c:v>
                </c:pt>
                <c:pt idx="1789">
                  <c:v>41466</c:v>
                </c:pt>
                <c:pt idx="1790">
                  <c:v>41467</c:v>
                </c:pt>
                <c:pt idx="1791">
                  <c:v>41470</c:v>
                </c:pt>
                <c:pt idx="1792">
                  <c:v>41471</c:v>
                </c:pt>
                <c:pt idx="1793">
                  <c:v>41472</c:v>
                </c:pt>
                <c:pt idx="1794">
                  <c:v>41473</c:v>
                </c:pt>
                <c:pt idx="1795">
                  <c:v>41474</c:v>
                </c:pt>
                <c:pt idx="1796">
                  <c:v>41477</c:v>
                </c:pt>
                <c:pt idx="1797">
                  <c:v>41478</c:v>
                </c:pt>
                <c:pt idx="1798">
                  <c:v>41479</c:v>
                </c:pt>
                <c:pt idx="1799">
                  <c:v>41480</c:v>
                </c:pt>
                <c:pt idx="1800">
                  <c:v>41481</c:v>
                </c:pt>
                <c:pt idx="1801">
                  <c:v>41484</c:v>
                </c:pt>
                <c:pt idx="1802">
                  <c:v>41485</c:v>
                </c:pt>
                <c:pt idx="1803">
                  <c:v>41486</c:v>
                </c:pt>
                <c:pt idx="1804">
                  <c:v>41487</c:v>
                </c:pt>
                <c:pt idx="1805">
                  <c:v>41488</c:v>
                </c:pt>
                <c:pt idx="1806">
                  <c:v>41491</c:v>
                </c:pt>
                <c:pt idx="1807">
                  <c:v>41492</c:v>
                </c:pt>
                <c:pt idx="1808">
                  <c:v>41493</c:v>
                </c:pt>
                <c:pt idx="1809">
                  <c:v>41494</c:v>
                </c:pt>
                <c:pt idx="1810">
                  <c:v>41495</c:v>
                </c:pt>
                <c:pt idx="1811">
                  <c:v>41498</c:v>
                </c:pt>
                <c:pt idx="1812">
                  <c:v>41499</c:v>
                </c:pt>
                <c:pt idx="1813">
                  <c:v>41500</c:v>
                </c:pt>
                <c:pt idx="1814">
                  <c:v>41501</c:v>
                </c:pt>
                <c:pt idx="1815">
                  <c:v>41502</c:v>
                </c:pt>
                <c:pt idx="1816">
                  <c:v>41505</c:v>
                </c:pt>
                <c:pt idx="1817">
                  <c:v>41506</c:v>
                </c:pt>
                <c:pt idx="1818">
                  <c:v>41507</c:v>
                </c:pt>
                <c:pt idx="1819">
                  <c:v>41508</c:v>
                </c:pt>
                <c:pt idx="1820">
                  <c:v>41509</c:v>
                </c:pt>
                <c:pt idx="1821">
                  <c:v>41512</c:v>
                </c:pt>
                <c:pt idx="1822">
                  <c:v>41513</c:v>
                </c:pt>
                <c:pt idx="1823">
                  <c:v>41514</c:v>
                </c:pt>
                <c:pt idx="1824">
                  <c:v>41515</c:v>
                </c:pt>
                <c:pt idx="1825">
                  <c:v>41516</c:v>
                </c:pt>
                <c:pt idx="1826">
                  <c:v>41520</c:v>
                </c:pt>
                <c:pt idx="1827">
                  <c:v>41521</c:v>
                </c:pt>
                <c:pt idx="1828">
                  <c:v>41522</c:v>
                </c:pt>
                <c:pt idx="1829">
                  <c:v>41523</c:v>
                </c:pt>
                <c:pt idx="1830">
                  <c:v>41526</c:v>
                </c:pt>
                <c:pt idx="1831">
                  <c:v>41527</c:v>
                </c:pt>
                <c:pt idx="1832">
                  <c:v>41528</c:v>
                </c:pt>
                <c:pt idx="1833">
                  <c:v>41529</c:v>
                </c:pt>
                <c:pt idx="1834">
                  <c:v>41530</c:v>
                </c:pt>
                <c:pt idx="1835">
                  <c:v>41533</c:v>
                </c:pt>
                <c:pt idx="1836">
                  <c:v>41534</c:v>
                </c:pt>
                <c:pt idx="1837">
                  <c:v>41535</c:v>
                </c:pt>
                <c:pt idx="1838">
                  <c:v>41536</c:v>
                </c:pt>
                <c:pt idx="1839">
                  <c:v>41537</c:v>
                </c:pt>
                <c:pt idx="1840">
                  <c:v>41540</c:v>
                </c:pt>
                <c:pt idx="1841">
                  <c:v>41541</c:v>
                </c:pt>
                <c:pt idx="1842">
                  <c:v>41542</c:v>
                </c:pt>
                <c:pt idx="1843">
                  <c:v>41543</c:v>
                </c:pt>
                <c:pt idx="1844">
                  <c:v>41544</c:v>
                </c:pt>
                <c:pt idx="1845">
                  <c:v>41547</c:v>
                </c:pt>
                <c:pt idx="1846">
                  <c:v>41548</c:v>
                </c:pt>
                <c:pt idx="1847">
                  <c:v>41549</c:v>
                </c:pt>
                <c:pt idx="1848">
                  <c:v>41550</c:v>
                </c:pt>
                <c:pt idx="1849">
                  <c:v>41551</c:v>
                </c:pt>
                <c:pt idx="1850">
                  <c:v>41554</c:v>
                </c:pt>
                <c:pt idx="1851">
                  <c:v>41555</c:v>
                </c:pt>
                <c:pt idx="1852">
                  <c:v>41556</c:v>
                </c:pt>
                <c:pt idx="1853">
                  <c:v>41557</c:v>
                </c:pt>
                <c:pt idx="1854">
                  <c:v>41558</c:v>
                </c:pt>
                <c:pt idx="1855">
                  <c:v>41561</c:v>
                </c:pt>
                <c:pt idx="1856">
                  <c:v>41562</c:v>
                </c:pt>
                <c:pt idx="1857">
                  <c:v>41563</c:v>
                </c:pt>
                <c:pt idx="1858">
                  <c:v>41564</c:v>
                </c:pt>
                <c:pt idx="1859">
                  <c:v>41565</c:v>
                </c:pt>
                <c:pt idx="1860">
                  <c:v>41568</c:v>
                </c:pt>
                <c:pt idx="1861">
                  <c:v>41569</c:v>
                </c:pt>
                <c:pt idx="1862">
                  <c:v>41570</c:v>
                </c:pt>
                <c:pt idx="1863">
                  <c:v>41571</c:v>
                </c:pt>
                <c:pt idx="1864">
                  <c:v>41572</c:v>
                </c:pt>
                <c:pt idx="1865">
                  <c:v>41575</c:v>
                </c:pt>
                <c:pt idx="1866">
                  <c:v>41576</c:v>
                </c:pt>
                <c:pt idx="1867">
                  <c:v>41577</c:v>
                </c:pt>
                <c:pt idx="1868">
                  <c:v>41578</c:v>
                </c:pt>
                <c:pt idx="1869">
                  <c:v>41579</c:v>
                </c:pt>
                <c:pt idx="1870">
                  <c:v>41582</c:v>
                </c:pt>
                <c:pt idx="1871">
                  <c:v>41583</c:v>
                </c:pt>
                <c:pt idx="1872">
                  <c:v>41584</c:v>
                </c:pt>
                <c:pt idx="1873">
                  <c:v>41585</c:v>
                </c:pt>
                <c:pt idx="1874">
                  <c:v>41586</c:v>
                </c:pt>
                <c:pt idx="1875">
                  <c:v>41589</c:v>
                </c:pt>
                <c:pt idx="1876">
                  <c:v>41590</c:v>
                </c:pt>
                <c:pt idx="1877">
                  <c:v>41591</c:v>
                </c:pt>
                <c:pt idx="1878">
                  <c:v>41592</c:v>
                </c:pt>
                <c:pt idx="1879">
                  <c:v>41593</c:v>
                </c:pt>
                <c:pt idx="1880">
                  <c:v>41596</c:v>
                </c:pt>
                <c:pt idx="1881">
                  <c:v>41597</c:v>
                </c:pt>
                <c:pt idx="1882">
                  <c:v>41598</c:v>
                </c:pt>
                <c:pt idx="1883">
                  <c:v>41599</c:v>
                </c:pt>
                <c:pt idx="1884">
                  <c:v>41600</c:v>
                </c:pt>
                <c:pt idx="1885">
                  <c:v>41603</c:v>
                </c:pt>
                <c:pt idx="1886">
                  <c:v>41604</c:v>
                </c:pt>
                <c:pt idx="1887">
                  <c:v>41605</c:v>
                </c:pt>
                <c:pt idx="1888">
                  <c:v>41607</c:v>
                </c:pt>
                <c:pt idx="1889">
                  <c:v>41610</c:v>
                </c:pt>
                <c:pt idx="1890">
                  <c:v>41611</c:v>
                </c:pt>
                <c:pt idx="1891">
                  <c:v>41612</c:v>
                </c:pt>
                <c:pt idx="1892">
                  <c:v>41613</c:v>
                </c:pt>
                <c:pt idx="1893">
                  <c:v>41614</c:v>
                </c:pt>
                <c:pt idx="1894">
                  <c:v>41617</c:v>
                </c:pt>
                <c:pt idx="1895">
                  <c:v>41618</c:v>
                </c:pt>
                <c:pt idx="1896">
                  <c:v>41619</c:v>
                </c:pt>
                <c:pt idx="1897">
                  <c:v>41620</c:v>
                </c:pt>
                <c:pt idx="1898">
                  <c:v>41621</c:v>
                </c:pt>
                <c:pt idx="1899">
                  <c:v>41624</c:v>
                </c:pt>
                <c:pt idx="1900">
                  <c:v>41625</c:v>
                </c:pt>
                <c:pt idx="1901">
                  <c:v>41626</c:v>
                </c:pt>
                <c:pt idx="1902">
                  <c:v>41627</c:v>
                </c:pt>
                <c:pt idx="1903">
                  <c:v>41628</c:v>
                </c:pt>
                <c:pt idx="1904">
                  <c:v>41631</c:v>
                </c:pt>
                <c:pt idx="1905">
                  <c:v>41632</c:v>
                </c:pt>
                <c:pt idx="1906">
                  <c:v>41634</c:v>
                </c:pt>
                <c:pt idx="1907">
                  <c:v>41635</c:v>
                </c:pt>
                <c:pt idx="1908">
                  <c:v>41638</c:v>
                </c:pt>
                <c:pt idx="1909">
                  <c:v>41639</c:v>
                </c:pt>
                <c:pt idx="1910">
                  <c:v>41641</c:v>
                </c:pt>
                <c:pt idx="1911">
                  <c:v>41642</c:v>
                </c:pt>
                <c:pt idx="1912">
                  <c:v>41645</c:v>
                </c:pt>
                <c:pt idx="1913">
                  <c:v>41646</c:v>
                </c:pt>
                <c:pt idx="1914">
                  <c:v>41647</c:v>
                </c:pt>
                <c:pt idx="1915">
                  <c:v>41648</c:v>
                </c:pt>
                <c:pt idx="1916">
                  <c:v>41649</c:v>
                </c:pt>
                <c:pt idx="1917">
                  <c:v>41652</c:v>
                </c:pt>
                <c:pt idx="1918">
                  <c:v>41653</c:v>
                </c:pt>
                <c:pt idx="1919">
                  <c:v>41654</c:v>
                </c:pt>
                <c:pt idx="1920">
                  <c:v>41655</c:v>
                </c:pt>
                <c:pt idx="1921">
                  <c:v>41656</c:v>
                </c:pt>
                <c:pt idx="1922">
                  <c:v>41660</c:v>
                </c:pt>
                <c:pt idx="1923">
                  <c:v>41661</c:v>
                </c:pt>
                <c:pt idx="1924">
                  <c:v>41662</c:v>
                </c:pt>
                <c:pt idx="1925">
                  <c:v>41663</c:v>
                </c:pt>
                <c:pt idx="1926">
                  <c:v>41666</c:v>
                </c:pt>
                <c:pt idx="1927">
                  <c:v>41667</c:v>
                </c:pt>
                <c:pt idx="1928">
                  <c:v>41668</c:v>
                </c:pt>
                <c:pt idx="1929">
                  <c:v>41669</c:v>
                </c:pt>
                <c:pt idx="1930">
                  <c:v>41670</c:v>
                </c:pt>
                <c:pt idx="1931">
                  <c:v>41673</c:v>
                </c:pt>
                <c:pt idx="1932">
                  <c:v>41674</c:v>
                </c:pt>
                <c:pt idx="1933">
                  <c:v>41675</c:v>
                </c:pt>
                <c:pt idx="1934">
                  <c:v>41676</c:v>
                </c:pt>
                <c:pt idx="1935">
                  <c:v>41677</c:v>
                </c:pt>
                <c:pt idx="1936">
                  <c:v>41680</c:v>
                </c:pt>
                <c:pt idx="1937">
                  <c:v>41681</c:v>
                </c:pt>
                <c:pt idx="1938">
                  <c:v>41682</c:v>
                </c:pt>
                <c:pt idx="1939">
                  <c:v>41683</c:v>
                </c:pt>
                <c:pt idx="1940">
                  <c:v>41684</c:v>
                </c:pt>
                <c:pt idx="1941">
                  <c:v>41688</c:v>
                </c:pt>
                <c:pt idx="1942">
                  <c:v>41689</c:v>
                </c:pt>
                <c:pt idx="1943">
                  <c:v>41690</c:v>
                </c:pt>
                <c:pt idx="1944">
                  <c:v>41691</c:v>
                </c:pt>
                <c:pt idx="1945">
                  <c:v>41694</c:v>
                </c:pt>
                <c:pt idx="1946">
                  <c:v>41695</c:v>
                </c:pt>
                <c:pt idx="1947">
                  <c:v>41696</c:v>
                </c:pt>
                <c:pt idx="1948">
                  <c:v>41697</c:v>
                </c:pt>
                <c:pt idx="1949">
                  <c:v>41698</c:v>
                </c:pt>
                <c:pt idx="1950">
                  <c:v>41701</c:v>
                </c:pt>
                <c:pt idx="1951">
                  <c:v>41702</c:v>
                </c:pt>
                <c:pt idx="1952">
                  <c:v>41703</c:v>
                </c:pt>
                <c:pt idx="1953">
                  <c:v>41704</c:v>
                </c:pt>
                <c:pt idx="1954">
                  <c:v>41705</c:v>
                </c:pt>
                <c:pt idx="1955">
                  <c:v>41708</c:v>
                </c:pt>
                <c:pt idx="1956">
                  <c:v>41709</c:v>
                </c:pt>
                <c:pt idx="1957">
                  <c:v>41710</c:v>
                </c:pt>
                <c:pt idx="1958">
                  <c:v>41711</c:v>
                </c:pt>
                <c:pt idx="1959">
                  <c:v>41712</c:v>
                </c:pt>
                <c:pt idx="1960">
                  <c:v>41715</c:v>
                </c:pt>
                <c:pt idx="1961">
                  <c:v>41716</c:v>
                </c:pt>
                <c:pt idx="1962">
                  <c:v>41717</c:v>
                </c:pt>
                <c:pt idx="1963">
                  <c:v>41718</c:v>
                </c:pt>
                <c:pt idx="1964">
                  <c:v>41719</c:v>
                </c:pt>
                <c:pt idx="1965">
                  <c:v>41722</c:v>
                </c:pt>
                <c:pt idx="1966">
                  <c:v>41723</c:v>
                </c:pt>
                <c:pt idx="1967">
                  <c:v>41724</c:v>
                </c:pt>
                <c:pt idx="1968">
                  <c:v>41725</c:v>
                </c:pt>
                <c:pt idx="1969">
                  <c:v>41726</c:v>
                </c:pt>
                <c:pt idx="1970">
                  <c:v>41729</c:v>
                </c:pt>
                <c:pt idx="1971">
                  <c:v>41730</c:v>
                </c:pt>
                <c:pt idx="1972">
                  <c:v>41731</c:v>
                </c:pt>
                <c:pt idx="1973">
                  <c:v>41732</c:v>
                </c:pt>
                <c:pt idx="1974">
                  <c:v>41733</c:v>
                </c:pt>
                <c:pt idx="1975">
                  <c:v>41736</c:v>
                </c:pt>
                <c:pt idx="1976">
                  <c:v>41737</c:v>
                </c:pt>
                <c:pt idx="1977">
                  <c:v>41738</c:v>
                </c:pt>
                <c:pt idx="1978">
                  <c:v>41739</c:v>
                </c:pt>
                <c:pt idx="1979">
                  <c:v>41740</c:v>
                </c:pt>
                <c:pt idx="1980">
                  <c:v>41743</c:v>
                </c:pt>
                <c:pt idx="1981">
                  <c:v>41744</c:v>
                </c:pt>
                <c:pt idx="1982">
                  <c:v>41745</c:v>
                </c:pt>
                <c:pt idx="1983">
                  <c:v>41746</c:v>
                </c:pt>
                <c:pt idx="1984">
                  <c:v>41750</c:v>
                </c:pt>
                <c:pt idx="1985">
                  <c:v>41751</c:v>
                </c:pt>
                <c:pt idx="1986">
                  <c:v>41752</c:v>
                </c:pt>
                <c:pt idx="1987">
                  <c:v>41753</c:v>
                </c:pt>
                <c:pt idx="1988">
                  <c:v>41754</c:v>
                </c:pt>
                <c:pt idx="1989">
                  <c:v>41757</c:v>
                </c:pt>
                <c:pt idx="1990">
                  <c:v>41758</c:v>
                </c:pt>
                <c:pt idx="1991">
                  <c:v>41759</c:v>
                </c:pt>
                <c:pt idx="1992">
                  <c:v>41760</c:v>
                </c:pt>
                <c:pt idx="1993">
                  <c:v>41761</c:v>
                </c:pt>
                <c:pt idx="1994">
                  <c:v>41764</c:v>
                </c:pt>
                <c:pt idx="1995">
                  <c:v>41765</c:v>
                </c:pt>
                <c:pt idx="1996">
                  <c:v>41766</c:v>
                </c:pt>
                <c:pt idx="1997">
                  <c:v>41767</c:v>
                </c:pt>
                <c:pt idx="1998">
                  <c:v>41768</c:v>
                </c:pt>
                <c:pt idx="1999">
                  <c:v>41771</c:v>
                </c:pt>
                <c:pt idx="2000">
                  <c:v>41772</c:v>
                </c:pt>
                <c:pt idx="2001">
                  <c:v>41773</c:v>
                </c:pt>
                <c:pt idx="2002">
                  <c:v>41774</c:v>
                </c:pt>
                <c:pt idx="2003">
                  <c:v>41775</c:v>
                </c:pt>
                <c:pt idx="2004">
                  <c:v>41778</c:v>
                </c:pt>
                <c:pt idx="2005">
                  <c:v>41779</c:v>
                </c:pt>
                <c:pt idx="2006">
                  <c:v>41780</c:v>
                </c:pt>
                <c:pt idx="2007">
                  <c:v>41781</c:v>
                </c:pt>
                <c:pt idx="2008">
                  <c:v>41782</c:v>
                </c:pt>
                <c:pt idx="2009">
                  <c:v>41786</c:v>
                </c:pt>
                <c:pt idx="2010">
                  <c:v>41787</c:v>
                </c:pt>
                <c:pt idx="2011">
                  <c:v>41788</c:v>
                </c:pt>
                <c:pt idx="2012">
                  <c:v>41789</c:v>
                </c:pt>
                <c:pt idx="2013">
                  <c:v>41792</c:v>
                </c:pt>
                <c:pt idx="2014">
                  <c:v>41793</c:v>
                </c:pt>
                <c:pt idx="2015">
                  <c:v>41794</c:v>
                </c:pt>
                <c:pt idx="2016">
                  <c:v>41795</c:v>
                </c:pt>
                <c:pt idx="2017">
                  <c:v>41796</c:v>
                </c:pt>
                <c:pt idx="2018">
                  <c:v>41799</c:v>
                </c:pt>
                <c:pt idx="2019">
                  <c:v>41800</c:v>
                </c:pt>
                <c:pt idx="2020">
                  <c:v>41801</c:v>
                </c:pt>
                <c:pt idx="2021">
                  <c:v>41802</c:v>
                </c:pt>
                <c:pt idx="2022">
                  <c:v>41803</c:v>
                </c:pt>
                <c:pt idx="2023">
                  <c:v>41806</c:v>
                </c:pt>
                <c:pt idx="2024">
                  <c:v>41807</c:v>
                </c:pt>
                <c:pt idx="2025">
                  <c:v>41808</c:v>
                </c:pt>
                <c:pt idx="2026">
                  <c:v>41809</c:v>
                </c:pt>
                <c:pt idx="2027">
                  <c:v>41810</c:v>
                </c:pt>
                <c:pt idx="2028">
                  <c:v>41813</c:v>
                </c:pt>
                <c:pt idx="2029">
                  <c:v>41814</c:v>
                </c:pt>
                <c:pt idx="2030">
                  <c:v>41815</c:v>
                </c:pt>
                <c:pt idx="2031">
                  <c:v>41816</c:v>
                </c:pt>
                <c:pt idx="2032">
                  <c:v>41817</c:v>
                </c:pt>
                <c:pt idx="2033">
                  <c:v>41820</c:v>
                </c:pt>
                <c:pt idx="2034">
                  <c:v>41821</c:v>
                </c:pt>
                <c:pt idx="2035">
                  <c:v>41822</c:v>
                </c:pt>
                <c:pt idx="2036">
                  <c:v>41823</c:v>
                </c:pt>
                <c:pt idx="2037">
                  <c:v>41827</c:v>
                </c:pt>
                <c:pt idx="2038">
                  <c:v>41828</c:v>
                </c:pt>
                <c:pt idx="2039">
                  <c:v>41829</c:v>
                </c:pt>
                <c:pt idx="2040">
                  <c:v>41830</c:v>
                </c:pt>
                <c:pt idx="2041">
                  <c:v>41831</c:v>
                </c:pt>
                <c:pt idx="2042">
                  <c:v>41834</c:v>
                </c:pt>
                <c:pt idx="2043">
                  <c:v>41835</c:v>
                </c:pt>
                <c:pt idx="2044">
                  <c:v>41836</c:v>
                </c:pt>
                <c:pt idx="2045">
                  <c:v>41837</c:v>
                </c:pt>
                <c:pt idx="2046">
                  <c:v>41838</c:v>
                </c:pt>
                <c:pt idx="2047">
                  <c:v>41841</c:v>
                </c:pt>
                <c:pt idx="2048">
                  <c:v>41842</c:v>
                </c:pt>
                <c:pt idx="2049">
                  <c:v>41843</c:v>
                </c:pt>
                <c:pt idx="2050">
                  <c:v>41844</c:v>
                </c:pt>
                <c:pt idx="2051">
                  <c:v>41845</c:v>
                </c:pt>
                <c:pt idx="2052">
                  <c:v>41848</c:v>
                </c:pt>
                <c:pt idx="2053">
                  <c:v>41849</c:v>
                </c:pt>
                <c:pt idx="2054">
                  <c:v>41850</c:v>
                </c:pt>
                <c:pt idx="2055">
                  <c:v>41851</c:v>
                </c:pt>
                <c:pt idx="2056">
                  <c:v>41852</c:v>
                </c:pt>
                <c:pt idx="2057">
                  <c:v>41855</c:v>
                </c:pt>
                <c:pt idx="2058">
                  <c:v>41856</c:v>
                </c:pt>
                <c:pt idx="2059">
                  <c:v>41857</c:v>
                </c:pt>
                <c:pt idx="2060">
                  <c:v>41858</c:v>
                </c:pt>
                <c:pt idx="2061">
                  <c:v>41859</c:v>
                </c:pt>
                <c:pt idx="2062">
                  <c:v>41862</c:v>
                </c:pt>
                <c:pt idx="2063">
                  <c:v>41863</c:v>
                </c:pt>
                <c:pt idx="2064">
                  <c:v>41864</c:v>
                </c:pt>
                <c:pt idx="2065">
                  <c:v>41865</c:v>
                </c:pt>
                <c:pt idx="2066">
                  <c:v>41866</c:v>
                </c:pt>
                <c:pt idx="2067">
                  <c:v>41869</c:v>
                </c:pt>
                <c:pt idx="2068">
                  <c:v>41870</c:v>
                </c:pt>
                <c:pt idx="2069">
                  <c:v>41871</c:v>
                </c:pt>
                <c:pt idx="2070">
                  <c:v>41872</c:v>
                </c:pt>
                <c:pt idx="2071">
                  <c:v>41873</c:v>
                </c:pt>
                <c:pt idx="2072">
                  <c:v>41876</c:v>
                </c:pt>
                <c:pt idx="2073">
                  <c:v>41877</c:v>
                </c:pt>
                <c:pt idx="2074">
                  <c:v>41878</c:v>
                </c:pt>
                <c:pt idx="2075">
                  <c:v>41879</c:v>
                </c:pt>
                <c:pt idx="2076">
                  <c:v>41880</c:v>
                </c:pt>
                <c:pt idx="2077">
                  <c:v>41884</c:v>
                </c:pt>
                <c:pt idx="2078">
                  <c:v>41885</c:v>
                </c:pt>
                <c:pt idx="2079">
                  <c:v>41886</c:v>
                </c:pt>
                <c:pt idx="2080">
                  <c:v>41887</c:v>
                </c:pt>
                <c:pt idx="2081">
                  <c:v>41890</c:v>
                </c:pt>
                <c:pt idx="2082">
                  <c:v>41891</c:v>
                </c:pt>
                <c:pt idx="2083">
                  <c:v>41892</c:v>
                </c:pt>
                <c:pt idx="2084">
                  <c:v>41893</c:v>
                </c:pt>
                <c:pt idx="2085">
                  <c:v>41894</c:v>
                </c:pt>
                <c:pt idx="2086">
                  <c:v>41897</c:v>
                </c:pt>
                <c:pt idx="2087">
                  <c:v>41898</c:v>
                </c:pt>
                <c:pt idx="2088">
                  <c:v>41899</c:v>
                </c:pt>
                <c:pt idx="2089">
                  <c:v>41900</c:v>
                </c:pt>
                <c:pt idx="2090">
                  <c:v>41901</c:v>
                </c:pt>
                <c:pt idx="2091">
                  <c:v>41904</c:v>
                </c:pt>
                <c:pt idx="2092">
                  <c:v>41905</c:v>
                </c:pt>
                <c:pt idx="2093">
                  <c:v>41906</c:v>
                </c:pt>
                <c:pt idx="2094">
                  <c:v>41907</c:v>
                </c:pt>
                <c:pt idx="2095">
                  <c:v>41908</c:v>
                </c:pt>
                <c:pt idx="2096">
                  <c:v>41911</c:v>
                </c:pt>
                <c:pt idx="2097">
                  <c:v>41912</c:v>
                </c:pt>
                <c:pt idx="2098">
                  <c:v>41913</c:v>
                </c:pt>
                <c:pt idx="2099">
                  <c:v>41914</c:v>
                </c:pt>
                <c:pt idx="2100">
                  <c:v>41915</c:v>
                </c:pt>
                <c:pt idx="2101">
                  <c:v>41918</c:v>
                </c:pt>
                <c:pt idx="2102">
                  <c:v>41919</c:v>
                </c:pt>
                <c:pt idx="2103">
                  <c:v>41920</c:v>
                </c:pt>
                <c:pt idx="2104">
                  <c:v>41921</c:v>
                </c:pt>
                <c:pt idx="2105">
                  <c:v>41922</c:v>
                </c:pt>
                <c:pt idx="2106">
                  <c:v>41925</c:v>
                </c:pt>
                <c:pt idx="2107">
                  <c:v>41926</c:v>
                </c:pt>
                <c:pt idx="2108">
                  <c:v>41927</c:v>
                </c:pt>
                <c:pt idx="2109">
                  <c:v>41928</c:v>
                </c:pt>
                <c:pt idx="2110">
                  <c:v>41929</c:v>
                </c:pt>
                <c:pt idx="2111">
                  <c:v>41932</c:v>
                </c:pt>
                <c:pt idx="2112">
                  <c:v>41933</c:v>
                </c:pt>
                <c:pt idx="2113">
                  <c:v>41934</c:v>
                </c:pt>
                <c:pt idx="2114">
                  <c:v>41935</c:v>
                </c:pt>
                <c:pt idx="2115">
                  <c:v>41936</c:v>
                </c:pt>
                <c:pt idx="2116">
                  <c:v>41939</c:v>
                </c:pt>
                <c:pt idx="2117">
                  <c:v>41940</c:v>
                </c:pt>
                <c:pt idx="2118">
                  <c:v>41941</c:v>
                </c:pt>
                <c:pt idx="2119">
                  <c:v>41942</c:v>
                </c:pt>
                <c:pt idx="2120">
                  <c:v>41943</c:v>
                </c:pt>
                <c:pt idx="2121">
                  <c:v>41946</c:v>
                </c:pt>
                <c:pt idx="2122">
                  <c:v>41947</c:v>
                </c:pt>
                <c:pt idx="2123">
                  <c:v>41948</c:v>
                </c:pt>
                <c:pt idx="2124">
                  <c:v>41949</c:v>
                </c:pt>
                <c:pt idx="2125">
                  <c:v>41950</c:v>
                </c:pt>
                <c:pt idx="2126">
                  <c:v>41953</c:v>
                </c:pt>
                <c:pt idx="2127">
                  <c:v>41954</c:v>
                </c:pt>
                <c:pt idx="2128">
                  <c:v>41955</c:v>
                </c:pt>
                <c:pt idx="2129">
                  <c:v>41956</c:v>
                </c:pt>
                <c:pt idx="2130">
                  <c:v>41957</c:v>
                </c:pt>
                <c:pt idx="2131">
                  <c:v>41960</c:v>
                </c:pt>
                <c:pt idx="2132">
                  <c:v>41961</c:v>
                </c:pt>
                <c:pt idx="2133">
                  <c:v>41962</c:v>
                </c:pt>
                <c:pt idx="2134">
                  <c:v>41963</c:v>
                </c:pt>
                <c:pt idx="2135">
                  <c:v>41964</c:v>
                </c:pt>
                <c:pt idx="2136">
                  <c:v>41967</c:v>
                </c:pt>
                <c:pt idx="2137">
                  <c:v>41968</c:v>
                </c:pt>
                <c:pt idx="2138">
                  <c:v>41969</c:v>
                </c:pt>
                <c:pt idx="2139">
                  <c:v>41971</c:v>
                </c:pt>
                <c:pt idx="2140">
                  <c:v>41974</c:v>
                </c:pt>
                <c:pt idx="2141">
                  <c:v>41975</c:v>
                </c:pt>
                <c:pt idx="2142">
                  <c:v>41976</c:v>
                </c:pt>
                <c:pt idx="2143">
                  <c:v>41977</c:v>
                </c:pt>
                <c:pt idx="2144">
                  <c:v>41978</c:v>
                </c:pt>
                <c:pt idx="2145">
                  <c:v>41981</c:v>
                </c:pt>
                <c:pt idx="2146">
                  <c:v>41982</c:v>
                </c:pt>
                <c:pt idx="2147">
                  <c:v>41983</c:v>
                </c:pt>
                <c:pt idx="2148">
                  <c:v>41984</c:v>
                </c:pt>
                <c:pt idx="2149">
                  <c:v>41985</c:v>
                </c:pt>
                <c:pt idx="2150">
                  <c:v>41988</c:v>
                </c:pt>
                <c:pt idx="2151">
                  <c:v>41989</c:v>
                </c:pt>
                <c:pt idx="2152">
                  <c:v>41990</c:v>
                </c:pt>
                <c:pt idx="2153">
                  <c:v>41991</c:v>
                </c:pt>
                <c:pt idx="2154">
                  <c:v>41992</c:v>
                </c:pt>
                <c:pt idx="2155">
                  <c:v>41995</c:v>
                </c:pt>
                <c:pt idx="2156">
                  <c:v>41996</c:v>
                </c:pt>
                <c:pt idx="2157">
                  <c:v>41997</c:v>
                </c:pt>
                <c:pt idx="2158">
                  <c:v>41999</c:v>
                </c:pt>
                <c:pt idx="2159">
                  <c:v>42002</c:v>
                </c:pt>
                <c:pt idx="2160">
                  <c:v>42003</c:v>
                </c:pt>
                <c:pt idx="2161">
                  <c:v>42004</c:v>
                </c:pt>
              </c:numCache>
            </c:numRef>
          </c:cat>
          <c:val>
            <c:numRef>
              <c:f>Sheet1!$C$2:$C$2163</c:f>
              <c:numCache>
                <c:formatCode>General</c:formatCode>
                <c:ptCount val="2162"/>
                <c:pt idx="0">
                  <c:v>74.08</c:v>
                </c:pt>
                <c:pt idx="1">
                  <c:v>70.27</c:v>
                </c:pt>
                <c:pt idx="2">
                  <c:v>77.38</c:v>
                </c:pt>
                <c:pt idx="3">
                  <c:v>78.66</c:v>
                </c:pt>
                <c:pt idx="4">
                  <c:v>73.86</c:v>
                </c:pt>
                <c:pt idx="5">
                  <c:v>78.12</c:v>
                </c:pt>
                <c:pt idx="6">
                  <c:v>79.87</c:v>
                </c:pt>
                <c:pt idx="7">
                  <c:v>83.52</c:v>
                </c:pt>
                <c:pt idx="8">
                  <c:v>93.2</c:v>
                </c:pt>
                <c:pt idx="9">
                  <c:v>102.11</c:v>
                </c:pt>
                <c:pt idx="10">
                  <c:v>99.13</c:v>
                </c:pt>
                <c:pt idx="11">
                  <c:v>106.93</c:v>
                </c:pt>
                <c:pt idx="12">
                  <c:v>102.56</c:v>
                </c:pt>
                <c:pt idx="13">
                  <c:v>94.76</c:v>
                </c:pt>
                <c:pt idx="14">
                  <c:v>92.4</c:v>
                </c:pt>
                <c:pt idx="15">
                  <c:v>91.85</c:v>
                </c:pt>
                <c:pt idx="16">
                  <c:v>86.81</c:v>
                </c:pt>
                <c:pt idx="17">
                  <c:v>90.71</c:v>
                </c:pt>
                <c:pt idx="18">
                  <c:v>95.12</c:v>
                </c:pt>
                <c:pt idx="19">
                  <c:v>96.44</c:v>
                </c:pt>
                <c:pt idx="20">
                  <c:v>96.63</c:v>
                </c:pt>
                <c:pt idx="21">
                  <c:v>92.1</c:v>
                </c:pt>
                <c:pt idx="22">
                  <c:v>89.13</c:v>
                </c:pt>
                <c:pt idx="23">
                  <c:v>91.98</c:v>
                </c:pt>
                <c:pt idx="24">
                  <c:v>92.88</c:v>
                </c:pt>
                <c:pt idx="25">
                  <c:v>91.46</c:v>
                </c:pt>
                <c:pt idx="26">
                  <c:v>93.52</c:v>
                </c:pt>
                <c:pt idx="27">
                  <c:v>91.99</c:v>
                </c:pt>
                <c:pt idx="28">
                  <c:v>91.99</c:v>
                </c:pt>
                <c:pt idx="29">
                  <c:v>91.99</c:v>
                </c:pt>
                <c:pt idx="30">
                  <c:v>91.99</c:v>
                </c:pt>
                <c:pt idx="31">
                  <c:v>91.99</c:v>
                </c:pt>
                <c:pt idx="32">
                  <c:v>91.99</c:v>
                </c:pt>
                <c:pt idx="33">
                  <c:v>91.99</c:v>
                </c:pt>
                <c:pt idx="34">
                  <c:v>91.99</c:v>
                </c:pt>
                <c:pt idx="35">
                  <c:v>91.99</c:v>
                </c:pt>
                <c:pt idx="36">
                  <c:v>99.61</c:v>
                </c:pt>
                <c:pt idx="37">
                  <c:v>94.97</c:v>
                </c:pt>
                <c:pt idx="38">
                  <c:v>89.23</c:v>
                </c:pt>
                <c:pt idx="39">
                  <c:v>95.29</c:v>
                </c:pt>
                <c:pt idx="40">
                  <c:v>93.16</c:v>
                </c:pt>
                <c:pt idx="41">
                  <c:v>92.79</c:v>
                </c:pt>
                <c:pt idx="42">
                  <c:v>92.67</c:v>
                </c:pt>
                <c:pt idx="43">
                  <c:v>91.34</c:v>
                </c:pt>
                <c:pt idx="44">
                  <c:v>89.24</c:v>
                </c:pt>
                <c:pt idx="45">
                  <c:v>90.68</c:v>
                </c:pt>
                <c:pt idx="46">
                  <c:v>89.58</c:v>
                </c:pt>
                <c:pt idx="47">
                  <c:v>88.09</c:v>
                </c:pt>
                <c:pt idx="48">
                  <c:v>88.09</c:v>
                </c:pt>
                <c:pt idx="49">
                  <c:v>88.09</c:v>
                </c:pt>
                <c:pt idx="50">
                  <c:v>88.09</c:v>
                </c:pt>
                <c:pt idx="51">
                  <c:v>88.09</c:v>
                </c:pt>
                <c:pt idx="52">
                  <c:v>88.09</c:v>
                </c:pt>
                <c:pt idx="53">
                  <c:v>57.01</c:v>
                </c:pt>
                <c:pt idx="54">
                  <c:v>57.01</c:v>
                </c:pt>
                <c:pt idx="55">
                  <c:v>57.01</c:v>
                </c:pt>
                <c:pt idx="56">
                  <c:v>80.680000000000007</c:v>
                </c:pt>
                <c:pt idx="57">
                  <c:v>78.75</c:v>
                </c:pt>
                <c:pt idx="58">
                  <c:v>81.150000000000006</c:v>
                </c:pt>
                <c:pt idx="59">
                  <c:v>79.7</c:v>
                </c:pt>
                <c:pt idx="60">
                  <c:v>81.94</c:v>
                </c:pt>
                <c:pt idx="61">
                  <c:v>79.47</c:v>
                </c:pt>
                <c:pt idx="62">
                  <c:v>81.8</c:v>
                </c:pt>
                <c:pt idx="63">
                  <c:v>80.77</c:v>
                </c:pt>
                <c:pt idx="64">
                  <c:v>79.84</c:v>
                </c:pt>
                <c:pt idx="65">
                  <c:v>77.19</c:v>
                </c:pt>
                <c:pt idx="66">
                  <c:v>80.180000000000007</c:v>
                </c:pt>
                <c:pt idx="67">
                  <c:v>82.96</c:v>
                </c:pt>
                <c:pt idx="68">
                  <c:v>86.18</c:v>
                </c:pt>
                <c:pt idx="69">
                  <c:v>83.7</c:v>
                </c:pt>
                <c:pt idx="70">
                  <c:v>85.78</c:v>
                </c:pt>
                <c:pt idx="71">
                  <c:v>80.989999999999995</c:v>
                </c:pt>
                <c:pt idx="72">
                  <c:v>81.55</c:v>
                </c:pt>
                <c:pt idx="73">
                  <c:v>81.93</c:v>
                </c:pt>
                <c:pt idx="74">
                  <c:v>59.52</c:v>
                </c:pt>
                <c:pt idx="75">
                  <c:v>80.97</c:v>
                </c:pt>
                <c:pt idx="76">
                  <c:v>81.77</c:v>
                </c:pt>
                <c:pt idx="77">
                  <c:v>80.83</c:v>
                </c:pt>
                <c:pt idx="78">
                  <c:v>85.95</c:v>
                </c:pt>
                <c:pt idx="79">
                  <c:v>85.74</c:v>
                </c:pt>
                <c:pt idx="80">
                  <c:v>82.01</c:v>
                </c:pt>
                <c:pt idx="81">
                  <c:v>81.59</c:v>
                </c:pt>
                <c:pt idx="82">
                  <c:v>81.08</c:v>
                </c:pt>
                <c:pt idx="83">
                  <c:v>84.74</c:v>
                </c:pt>
                <c:pt idx="84">
                  <c:v>84.31</c:v>
                </c:pt>
                <c:pt idx="85">
                  <c:v>85.46</c:v>
                </c:pt>
                <c:pt idx="86">
                  <c:v>86.57</c:v>
                </c:pt>
                <c:pt idx="87">
                  <c:v>82.5</c:v>
                </c:pt>
                <c:pt idx="88">
                  <c:v>87.5</c:v>
                </c:pt>
                <c:pt idx="89">
                  <c:v>85.63</c:v>
                </c:pt>
                <c:pt idx="90">
                  <c:v>84.76</c:v>
                </c:pt>
                <c:pt idx="91">
                  <c:v>83.62</c:v>
                </c:pt>
                <c:pt idx="92">
                  <c:v>88.4</c:v>
                </c:pt>
                <c:pt idx="93">
                  <c:v>86.87</c:v>
                </c:pt>
                <c:pt idx="94">
                  <c:v>86.61</c:v>
                </c:pt>
                <c:pt idx="95">
                  <c:v>82.29</c:v>
                </c:pt>
                <c:pt idx="96">
                  <c:v>66.989999999999995</c:v>
                </c:pt>
                <c:pt idx="97">
                  <c:v>79.099999999999994</c:v>
                </c:pt>
                <c:pt idx="98">
                  <c:v>77.709999999999994</c:v>
                </c:pt>
                <c:pt idx="99">
                  <c:v>78.599999999999994</c:v>
                </c:pt>
                <c:pt idx="100">
                  <c:v>84.73</c:v>
                </c:pt>
                <c:pt idx="101">
                  <c:v>87.39</c:v>
                </c:pt>
                <c:pt idx="102">
                  <c:v>85.9</c:v>
                </c:pt>
                <c:pt idx="103">
                  <c:v>81.599999999999994</c:v>
                </c:pt>
                <c:pt idx="104">
                  <c:v>82.71</c:v>
                </c:pt>
                <c:pt idx="105">
                  <c:v>80.16</c:v>
                </c:pt>
                <c:pt idx="106">
                  <c:v>76.400000000000006</c:v>
                </c:pt>
                <c:pt idx="107">
                  <c:v>78.89</c:v>
                </c:pt>
                <c:pt idx="108">
                  <c:v>77.08</c:v>
                </c:pt>
                <c:pt idx="109">
                  <c:v>75.19</c:v>
                </c:pt>
                <c:pt idx="110">
                  <c:v>70.459999999999994</c:v>
                </c:pt>
                <c:pt idx="111">
                  <c:v>67.5</c:v>
                </c:pt>
                <c:pt idx="112">
                  <c:v>62.08</c:v>
                </c:pt>
                <c:pt idx="113">
                  <c:v>60.42</c:v>
                </c:pt>
                <c:pt idx="114">
                  <c:v>61.06</c:v>
                </c:pt>
                <c:pt idx="115">
                  <c:v>36.14</c:v>
                </c:pt>
                <c:pt idx="116">
                  <c:v>60.77</c:v>
                </c:pt>
                <c:pt idx="117">
                  <c:v>58.58</c:v>
                </c:pt>
                <c:pt idx="118">
                  <c:v>62.48</c:v>
                </c:pt>
                <c:pt idx="119">
                  <c:v>64.3</c:v>
                </c:pt>
                <c:pt idx="120">
                  <c:v>65.98</c:v>
                </c:pt>
                <c:pt idx="121">
                  <c:v>65.3</c:v>
                </c:pt>
                <c:pt idx="122">
                  <c:v>63.62</c:v>
                </c:pt>
                <c:pt idx="123">
                  <c:v>66.48</c:v>
                </c:pt>
                <c:pt idx="124">
                  <c:v>71.599999999999994</c:v>
                </c:pt>
                <c:pt idx="125">
                  <c:v>66.56</c:v>
                </c:pt>
                <c:pt idx="126">
                  <c:v>60.3</c:v>
                </c:pt>
                <c:pt idx="127">
                  <c:v>61.39</c:v>
                </c:pt>
                <c:pt idx="128">
                  <c:v>62.33</c:v>
                </c:pt>
                <c:pt idx="129">
                  <c:v>62.11</c:v>
                </c:pt>
                <c:pt idx="130">
                  <c:v>65.87</c:v>
                </c:pt>
                <c:pt idx="131">
                  <c:v>66.489999999999995</c:v>
                </c:pt>
                <c:pt idx="132">
                  <c:v>68.650000000000006</c:v>
                </c:pt>
                <c:pt idx="133">
                  <c:v>71.34</c:v>
                </c:pt>
                <c:pt idx="134">
                  <c:v>72.84</c:v>
                </c:pt>
                <c:pt idx="135">
                  <c:v>74.78</c:v>
                </c:pt>
                <c:pt idx="136">
                  <c:v>79.06</c:v>
                </c:pt>
                <c:pt idx="137">
                  <c:v>82.57</c:v>
                </c:pt>
                <c:pt idx="138">
                  <c:v>84.63</c:v>
                </c:pt>
                <c:pt idx="139">
                  <c:v>84.26</c:v>
                </c:pt>
                <c:pt idx="140">
                  <c:v>78.91</c:v>
                </c:pt>
                <c:pt idx="141">
                  <c:v>84.68</c:v>
                </c:pt>
                <c:pt idx="142">
                  <c:v>83.94</c:v>
                </c:pt>
                <c:pt idx="143">
                  <c:v>83.41</c:v>
                </c:pt>
                <c:pt idx="144">
                  <c:v>85.28</c:v>
                </c:pt>
                <c:pt idx="145">
                  <c:v>83.01</c:v>
                </c:pt>
                <c:pt idx="146">
                  <c:v>88.72</c:v>
                </c:pt>
                <c:pt idx="147">
                  <c:v>88.16</c:v>
                </c:pt>
                <c:pt idx="148">
                  <c:v>87.63</c:v>
                </c:pt>
                <c:pt idx="149">
                  <c:v>88.19</c:v>
                </c:pt>
                <c:pt idx="150">
                  <c:v>90.17</c:v>
                </c:pt>
                <c:pt idx="151">
                  <c:v>92.04</c:v>
                </c:pt>
                <c:pt idx="152">
                  <c:v>92.76</c:v>
                </c:pt>
                <c:pt idx="153">
                  <c:v>93.78</c:v>
                </c:pt>
                <c:pt idx="154">
                  <c:v>85.97</c:v>
                </c:pt>
                <c:pt idx="155">
                  <c:v>85.18</c:v>
                </c:pt>
                <c:pt idx="156">
                  <c:v>85.3</c:v>
                </c:pt>
                <c:pt idx="157">
                  <c:v>84.93</c:v>
                </c:pt>
                <c:pt idx="158">
                  <c:v>83.66</c:v>
                </c:pt>
                <c:pt idx="159">
                  <c:v>82.49</c:v>
                </c:pt>
                <c:pt idx="160">
                  <c:v>84.43</c:v>
                </c:pt>
                <c:pt idx="161">
                  <c:v>81.48</c:v>
                </c:pt>
                <c:pt idx="162">
                  <c:v>77.510000000000005</c:v>
                </c:pt>
                <c:pt idx="163">
                  <c:v>80.45</c:v>
                </c:pt>
                <c:pt idx="164">
                  <c:v>81.36</c:v>
                </c:pt>
                <c:pt idx="165">
                  <c:v>81.680000000000007</c:v>
                </c:pt>
                <c:pt idx="166">
                  <c:v>78.900000000000006</c:v>
                </c:pt>
                <c:pt idx="167">
                  <c:v>77.28</c:v>
                </c:pt>
                <c:pt idx="168">
                  <c:v>73.5</c:v>
                </c:pt>
                <c:pt idx="169">
                  <c:v>72.44</c:v>
                </c:pt>
                <c:pt idx="170">
                  <c:v>70.290000000000006</c:v>
                </c:pt>
                <c:pt idx="171">
                  <c:v>68.55</c:v>
                </c:pt>
                <c:pt idx="172">
                  <c:v>70.319999999999993</c:v>
                </c:pt>
                <c:pt idx="173">
                  <c:v>73.180000000000007</c:v>
                </c:pt>
                <c:pt idx="174">
                  <c:v>74.39</c:v>
                </c:pt>
                <c:pt idx="175">
                  <c:v>79.12</c:v>
                </c:pt>
                <c:pt idx="176">
                  <c:v>75.72</c:v>
                </c:pt>
                <c:pt idx="177">
                  <c:v>74</c:v>
                </c:pt>
                <c:pt idx="178">
                  <c:v>70.34</c:v>
                </c:pt>
                <c:pt idx="179">
                  <c:v>70.739999999999995</c:v>
                </c:pt>
                <c:pt idx="180">
                  <c:v>65.87</c:v>
                </c:pt>
                <c:pt idx="181">
                  <c:v>67.37</c:v>
                </c:pt>
                <c:pt idx="182">
                  <c:v>66.05</c:v>
                </c:pt>
                <c:pt idx="183">
                  <c:v>70.709999999999994</c:v>
                </c:pt>
                <c:pt idx="184">
                  <c:v>70.33</c:v>
                </c:pt>
                <c:pt idx="185">
                  <c:v>110.42</c:v>
                </c:pt>
                <c:pt idx="186">
                  <c:v>91.64</c:v>
                </c:pt>
                <c:pt idx="187">
                  <c:v>99.47</c:v>
                </c:pt>
                <c:pt idx="188">
                  <c:v>104.17</c:v>
                </c:pt>
                <c:pt idx="189">
                  <c:v>101.2</c:v>
                </c:pt>
                <c:pt idx="190">
                  <c:v>93.65</c:v>
                </c:pt>
                <c:pt idx="191">
                  <c:v>94.41</c:v>
                </c:pt>
                <c:pt idx="192">
                  <c:v>93.97</c:v>
                </c:pt>
                <c:pt idx="193">
                  <c:v>91.82</c:v>
                </c:pt>
                <c:pt idx="194">
                  <c:v>90.02</c:v>
                </c:pt>
                <c:pt idx="195">
                  <c:v>94.53</c:v>
                </c:pt>
                <c:pt idx="196">
                  <c:v>98.08</c:v>
                </c:pt>
                <c:pt idx="197">
                  <c:v>99.55</c:v>
                </c:pt>
                <c:pt idx="198">
                  <c:v>102.74</c:v>
                </c:pt>
                <c:pt idx="199">
                  <c:v>93.9</c:v>
                </c:pt>
                <c:pt idx="200">
                  <c:v>89.55</c:v>
                </c:pt>
                <c:pt idx="201">
                  <c:v>94.13</c:v>
                </c:pt>
                <c:pt idx="202">
                  <c:v>95.52</c:v>
                </c:pt>
                <c:pt idx="203">
                  <c:v>96.37</c:v>
                </c:pt>
                <c:pt idx="204">
                  <c:v>95.95</c:v>
                </c:pt>
                <c:pt idx="205">
                  <c:v>101</c:v>
                </c:pt>
                <c:pt idx="206">
                  <c:v>104.79</c:v>
                </c:pt>
                <c:pt idx="207">
                  <c:v>102.31</c:v>
                </c:pt>
                <c:pt idx="208">
                  <c:v>99.78</c:v>
                </c:pt>
                <c:pt idx="209">
                  <c:v>98.92</c:v>
                </c:pt>
                <c:pt idx="210">
                  <c:v>94.98</c:v>
                </c:pt>
                <c:pt idx="211">
                  <c:v>96.12</c:v>
                </c:pt>
                <c:pt idx="212">
                  <c:v>93.6</c:v>
                </c:pt>
                <c:pt idx="213">
                  <c:v>92.3</c:v>
                </c:pt>
                <c:pt idx="214">
                  <c:v>87.37</c:v>
                </c:pt>
                <c:pt idx="215">
                  <c:v>93.47</c:v>
                </c:pt>
                <c:pt idx="216">
                  <c:v>91.38</c:v>
                </c:pt>
                <c:pt idx="217">
                  <c:v>88.71</c:v>
                </c:pt>
                <c:pt idx="218">
                  <c:v>83.98</c:v>
                </c:pt>
                <c:pt idx="219">
                  <c:v>83.68</c:v>
                </c:pt>
                <c:pt idx="220">
                  <c:v>80.59</c:v>
                </c:pt>
                <c:pt idx="221">
                  <c:v>77.91</c:v>
                </c:pt>
                <c:pt idx="222">
                  <c:v>79.180000000000007</c:v>
                </c:pt>
                <c:pt idx="223">
                  <c:v>79.33</c:v>
                </c:pt>
                <c:pt idx="224">
                  <c:v>77.83</c:v>
                </c:pt>
                <c:pt idx="225">
                  <c:v>80.790000000000006</c:v>
                </c:pt>
                <c:pt idx="226">
                  <c:v>81.67</c:v>
                </c:pt>
                <c:pt idx="227">
                  <c:v>80.66</c:v>
                </c:pt>
                <c:pt idx="228">
                  <c:v>85.33</c:v>
                </c:pt>
                <c:pt idx="229">
                  <c:v>81.28</c:v>
                </c:pt>
                <c:pt idx="230">
                  <c:v>82.59</c:v>
                </c:pt>
                <c:pt idx="231">
                  <c:v>78.81</c:v>
                </c:pt>
                <c:pt idx="232">
                  <c:v>77.099999999999994</c:v>
                </c:pt>
                <c:pt idx="233">
                  <c:v>78.510000000000005</c:v>
                </c:pt>
                <c:pt idx="234">
                  <c:v>79.900000000000006</c:v>
                </c:pt>
                <c:pt idx="235">
                  <c:v>85.89</c:v>
                </c:pt>
                <c:pt idx="236">
                  <c:v>83.58</c:v>
                </c:pt>
                <c:pt idx="237">
                  <c:v>79.47</c:v>
                </c:pt>
                <c:pt idx="238">
                  <c:v>82.02</c:v>
                </c:pt>
                <c:pt idx="239">
                  <c:v>76.680000000000007</c:v>
                </c:pt>
                <c:pt idx="240">
                  <c:v>70.260000000000005</c:v>
                </c:pt>
                <c:pt idx="241">
                  <c:v>72.94</c:v>
                </c:pt>
                <c:pt idx="242">
                  <c:v>75.430000000000007</c:v>
                </c:pt>
                <c:pt idx="243">
                  <c:v>71.819999999999993</c:v>
                </c:pt>
                <c:pt idx="244">
                  <c:v>72.36</c:v>
                </c:pt>
                <c:pt idx="245">
                  <c:v>71.44</c:v>
                </c:pt>
                <c:pt idx="246">
                  <c:v>74.36</c:v>
                </c:pt>
                <c:pt idx="247">
                  <c:v>72.42</c:v>
                </c:pt>
                <c:pt idx="248">
                  <c:v>72.48</c:v>
                </c:pt>
                <c:pt idx="249">
                  <c:v>71.61</c:v>
                </c:pt>
                <c:pt idx="250">
                  <c:v>72.2</c:v>
                </c:pt>
                <c:pt idx="251">
                  <c:v>70.19</c:v>
                </c:pt>
                <c:pt idx="252">
                  <c:v>70.739999999999995</c:v>
                </c:pt>
                <c:pt idx="253">
                  <c:v>69.239999999999995</c:v>
                </c:pt>
                <c:pt idx="254">
                  <c:v>72.06</c:v>
                </c:pt>
                <c:pt idx="255">
                  <c:v>75.83</c:v>
                </c:pt>
                <c:pt idx="256">
                  <c:v>70.69</c:v>
                </c:pt>
                <c:pt idx="257">
                  <c:v>68.73</c:v>
                </c:pt>
                <c:pt idx="258">
                  <c:v>69.48</c:v>
                </c:pt>
                <c:pt idx="259">
                  <c:v>68.81</c:v>
                </c:pt>
                <c:pt idx="260">
                  <c:v>63.52</c:v>
                </c:pt>
                <c:pt idx="261">
                  <c:v>64.03</c:v>
                </c:pt>
                <c:pt idx="262">
                  <c:v>66.760000000000005</c:v>
                </c:pt>
                <c:pt idx="263">
                  <c:v>67.239999999999995</c:v>
                </c:pt>
                <c:pt idx="264">
                  <c:v>76.8</c:v>
                </c:pt>
                <c:pt idx="265">
                  <c:v>74.760000000000005</c:v>
                </c:pt>
                <c:pt idx="266">
                  <c:v>78.349999999999994</c:v>
                </c:pt>
                <c:pt idx="267">
                  <c:v>78.069999999999993</c:v>
                </c:pt>
                <c:pt idx="268">
                  <c:v>82.01</c:v>
                </c:pt>
                <c:pt idx="269">
                  <c:v>78.48</c:v>
                </c:pt>
                <c:pt idx="270">
                  <c:v>76.040000000000006</c:v>
                </c:pt>
                <c:pt idx="271">
                  <c:v>76.94</c:v>
                </c:pt>
                <c:pt idx="272">
                  <c:v>75.56</c:v>
                </c:pt>
                <c:pt idx="273">
                  <c:v>74.63</c:v>
                </c:pt>
                <c:pt idx="274">
                  <c:v>75.86</c:v>
                </c:pt>
                <c:pt idx="275">
                  <c:v>74.849999999999994</c:v>
                </c:pt>
                <c:pt idx="276">
                  <c:v>73.05</c:v>
                </c:pt>
                <c:pt idx="277">
                  <c:v>79.989999999999995</c:v>
                </c:pt>
                <c:pt idx="278">
                  <c:v>81.55</c:v>
                </c:pt>
                <c:pt idx="279">
                  <c:v>76.599999999999994</c:v>
                </c:pt>
                <c:pt idx="280">
                  <c:v>76.650000000000006</c:v>
                </c:pt>
                <c:pt idx="281">
                  <c:v>72.56</c:v>
                </c:pt>
                <c:pt idx="282">
                  <c:v>72.41</c:v>
                </c:pt>
                <c:pt idx="283">
                  <c:v>73.569999999999993</c:v>
                </c:pt>
                <c:pt idx="284">
                  <c:v>72.02</c:v>
                </c:pt>
                <c:pt idx="285">
                  <c:v>73.760000000000005</c:v>
                </c:pt>
                <c:pt idx="286">
                  <c:v>74.56</c:v>
                </c:pt>
                <c:pt idx="287">
                  <c:v>79.319999999999993</c:v>
                </c:pt>
                <c:pt idx="288">
                  <c:v>75.31</c:v>
                </c:pt>
                <c:pt idx="289">
                  <c:v>87.38</c:v>
                </c:pt>
                <c:pt idx="290">
                  <c:v>97.23</c:v>
                </c:pt>
                <c:pt idx="291">
                  <c:v>97.45</c:v>
                </c:pt>
                <c:pt idx="292">
                  <c:v>104.08</c:v>
                </c:pt>
                <c:pt idx="293">
                  <c:v>108.86</c:v>
                </c:pt>
                <c:pt idx="294">
                  <c:v>100.8</c:v>
                </c:pt>
                <c:pt idx="295">
                  <c:v>104.05</c:v>
                </c:pt>
                <c:pt idx="296">
                  <c:v>95.22</c:v>
                </c:pt>
                <c:pt idx="297">
                  <c:v>85.96</c:v>
                </c:pt>
                <c:pt idx="298">
                  <c:v>82.52</c:v>
                </c:pt>
                <c:pt idx="299">
                  <c:v>99.87</c:v>
                </c:pt>
                <c:pt idx="300">
                  <c:v>108.91</c:v>
                </c:pt>
                <c:pt idx="301">
                  <c:v>108.57</c:v>
                </c:pt>
                <c:pt idx="302">
                  <c:v>114.96</c:v>
                </c:pt>
                <c:pt idx="303">
                  <c:v>121.67</c:v>
                </c:pt>
                <c:pt idx="304">
                  <c:v>142.99</c:v>
                </c:pt>
                <c:pt idx="305">
                  <c:v>133.87</c:v>
                </c:pt>
                <c:pt idx="306">
                  <c:v>125.04</c:v>
                </c:pt>
                <c:pt idx="307">
                  <c:v>122.6</c:v>
                </c:pt>
                <c:pt idx="308">
                  <c:v>117.47</c:v>
                </c:pt>
                <c:pt idx="309">
                  <c:v>117.42</c:v>
                </c:pt>
                <c:pt idx="310">
                  <c:v>111.95</c:v>
                </c:pt>
                <c:pt idx="311">
                  <c:v>115.24</c:v>
                </c:pt>
                <c:pt idx="312">
                  <c:v>119.79</c:v>
                </c:pt>
                <c:pt idx="313">
                  <c:v>113.22</c:v>
                </c:pt>
                <c:pt idx="314">
                  <c:v>112.66</c:v>
                </c:pt>
                <c:pt idx="315">
                  <c:v>109.27</c:v>
                </c:pt>
                <c:pt idx="316">
                  <c:v>104.87</c:v>
                </c:pt>
                <c:pt idx="317">
                  <c:v>107.91</c:v>
                </c:pt>
                <c:pt idx="318">
                  <c:v>106.6</c:v>
                </c:pt>
                <c:pt idx="319">
                  <c:v>108.22</c:v>
                </c:pt>
                <c:pt idx="320">
                  <c:v>107.07</c:v>
                </c:pt>
                <c:pt idx="321">
                  <c:v>103.75</c:v>
                </c:pt>
                <c:pt idx="322">
                  <c:v>106.95</c:v>
                </c:pt>
                <c:pt idx="323">
                  <c:v>104.63</c:v>
                </c:pt>
                <c:pt idx="324">
                  <c:v>104.39</c:v>
                </c:pt>
                <c:pt idx="325">
                  <c:v>102.22</c:v>
                </c:pt>
                <c:pt idx="326">
                  <c:v>92.33</c:v>
                </c:pt>
                <c:pt idx="327">
                  <c:v>97.7</c:v>
                </c:pt>
                <c:pt idx="328">
                  <c:v>97.38</c:v>
                </c:pt>
                <c:pt idx="329">
                  <c:v>98.14</c:v>
                </c:pt>
                <c:pt idx="330">
                  <c:v>94.27</c:v>
                </c:pt>
                <c:pt idx="331">
                  <c:v>94.33</c:v>
                </c:pt>
                <c:pt idx="332">
                  <c:v>89.49</c:v>
                </c:pt>
                <c:pt idx="333">
                  <c:v>87.57</c:v>
                </c:pt>
                <c:pt idx="334">
                  <c:v>87.13</c:v>
                </c:pt>
                <c:pt idx="335">
                  <c:v>84.48</c:v>
                </c:pt>
                <c:pt idx="336">
                  <c:v>88.74</c:v>
                </c:pt>
                <c:pt idx="337">
                  <c:v>87.65</c:v>
                </c:pt>
                <c:pt idx="338">
                  <c:v>89.38</c:v>
                </c:pt>
                <c:pt idx="339">
                  <c:v>83.91</c:v>
                </c:pt>
                <c:pt idx="340">
                  <c:v>84.96</c:v>
                </c:pt>
                <c:pt idx="341">
                  <c:v>79.930000000000007</c:v>
                </c:pt>
                <c:pt idx="342">
                  <c:v>87.46</c:v>
                </c:pt>
                <c:pt idx="343">
                  <c:v>95.78</c:v>
                </c:pt>
                <c:pt idx="344">
                  <c:v>90.63</c:v>
                </c:pt>
                <c:pt idx="345">
                  <c:v>86.18</c:v>
                </c:pt>
                <c:pt idx="346">
                  <c:v>91.47</c:v>
                </c:pt>
                <c:pt idx="347">
                  <c:v>89.48</c:v>
                </c:pt>
                <c:pt idx="348">
                  <c:v>83.37</c:v>
                </c:pt>
                <c:pt idx="349">
                  <c:v>91.56</c:v>
                </c:pt>
                <c:pt idx="350">
                  <c:v>88.17</c:v>
                </c:pt>
                <c:pt idx="351">
                  <c:v>86.42</c:v>
                </c:pt>
                <c:pt idx="352">
                  <c:v>89.14</c:v>
                </c:pt>
                <c:pt idx="353">
                  <c:v>90.82</c:v>
                </c:pt>
                <c:pt idx="354">
                  <c:v>95.36</c:v>
                </c:pt>
                <c:pt idx="355">
                  <c:v>95.01</c:v>
                </c:pt>
                <c:pt idx="356">
                  <c:v>100.37</c:v>
                </c:pt>
                <c:pt idx="357">
                  <c:v>93.62</c:v>
                </c:pt>
                <c:pt idx="358">
                  <c:v>97.53</c:v>
                </c:pt>
                <c:pt idx="359">
                  <c:v>97.46</c:v>
                </c:pt>
                <c:pt idx="360">
                  <c:v>97.29</c:v>
                </c:pt>
                <c:pt idx="361">
                  <c:v>92.7</c:v>
                </c:pt>
                <c:pt idx="362">
                  <c:v>98.17</c:v>
                </c:pt>
                <c:pt idx="363">
                  <c:v>97.36</c:v>
                </c:pt>
                <c:pt idx="364">
                  <c:v>97.86</c:v>
                </c:pt>
                <c:pt idx="365">
                  <c:v>98.09</c:v>
                </c:pt>
                <c:pt idx="366">
                  <c:v>92.58</c:v>
                </c:pt>
                <c:pt idx="367">
                  <c:v>94.39</c:v>
                </c:pt>
                <c:pt idx="368">
                  <c:v>92.96</c:v>
                </c:pt>
                <c:pt idx="369">
                  <c:v>92.8</c:v>
                </c:pt>
                <c:pt idx="370">
                  <c:v>91.13</c:v>
                </c:pt>
                <c:pt idx="371">
                  <c:v>91.34</c:v>
                </c:pt>
                <c:pt idx="372">
                  <c:v>94.49</c:v>
                </c:pt>
                <c:pt idx="373">
                  <c:v>89.62</c:v>
                </c:pt>
                <c:pt idx="374">
                  <c:v>91.55</c:v>
                </c:pt>
                <c:pt idx="375">
                  <c:v>90.7</c:v>
                </c:pt>
                <c:pt idx="376">
                  <c:v>91.62</c:v>
                </c:pt>
                <c:pt idx="377">
                  <c:v>91.08</c:v>
                </c:pt>
                <c:pt idx="378">
                  <c:v>88.88</c:v>
                </c:pt>
                <c:pt idx="379">
                  <c:v>87.45</c:v>
                </c:pt>
                <c:pt idx="380">
                  <c:v>86.85</c:v>
                </c:pt>
                <c:pt idx="381">
                  <c:v>83.08</c:v>
                </c:pt>
                <c:pt idx="382">
                  <c:v>81.510000000000005</c:v>
                </c:pt>
                <c:pt idx="383">
                  <c:v>82.47</c:v>
                </c:pt>
                <c:pt idx="384">
                  <c:v>81.5</c:v>
                </c:pt>
                <c:pt idx="385">
                  <c:v>82.58</c:v>
                </c:pt>
                <c:pt idx="386">
                  <c:v>89.41</c:v>
                </c:pt>
                <c:pt idx="387">
                  <c:v>88.19</c:v>
                </c:pt>
                <c:pt idx="388">
                  <c:v>85.82</c:v>
                </c:pt>
                <c:pt idx="389">
                  <c:v>85.38</c:v>
                </c:pt>
                <c:pt idx="390">
                  <c:v>80.83</c:v>
                </c:pt>
                <c:pt idx="391">
                  <c:v>83.47</c:v>
                </c:pt>
                <c:pt idx="392">
                  <c:v>79.44</c:v>
                </c:pt>
                <c:pt idx="393">
                  <c:v>82.87</c:v>
                </c:pt>
                <c:pt idx="394">
                  <c:v>79.849999999999994</c:v>
                </c:pt>
                <c:pt idx="395">
                  <c:v>80.790000000000006</c:v>
                </c:pt>
                <c:pt idx="396">
                  <c:v>84.36</c:v>
                </c:pt>
                <c:pt idx="397">
                  <c:v>84.03</c:v>
                </c:pt>
                <c:pt idx="398">
                  <c:v>82.19</c:v>
                </c:pt>
                <c:pt idx="399">
                  <c:v>80.58</c:v>
                </c:pt>
                <c:pt idx="400">
                  <c:v>79.33</c:v>
                </c:pt>
                <c:pt idx="401">
                  <c:v>81.459999999999994</c:v>
                </c:pt>
                <c:pt idx="402">
                  <c:v>79.510000000000005</c:v>
                </c:pt>
                <c:pt idx="403">
                  <c:v>79.59</c:v>
                </c:pt>
                <c:pt idx="404">
                  <c:v>89.37</c:v>
                </c:pt>
                <c:pt idx="405">
                  <c:v>84.98</c:v>
                </c:pt>
                <c:pt idx="406">
                  <c:v>84.66</c:v>
                </c:pt>
                <c:pt idx="407">
                  <c:v>86.96</c:v>
                </c:pt>
                <c:pt idx="408">
                  <c:v>81.13</c:v>
                </c:pt>
                <c:pt idx="409">
                  <c:v>80.510000000000005</c:v>
                </c:pt>
                <c:pt idx="410">
                  <c:v>84.99</c:v>
                </c:pt>
                <c:pt idx="411">
                  <c:v>77.239999999999995</c:v>
                </c:pt>
                <c:pt idx="412">
                  <c:v>86.58</c:v>
                </c:pt>
                <c:pt idx="413">
                  <c:v>82.68</c:v>
                </c:pt>
                <c:pt idx="414">
                  <c:v>81.31</c:v>
                </c:pt>
                <c:pt idx="415">
                  <c:v>79</c:v>
                </c:pt>
                <c:pt idx="416">
                  <c:v>76.430000000000007</c:v>
                </c:pt>
                <c:pt idx="417">
                  <c:v>77.459999999999994</c:v>
                </c:pt>
                <c:pt idx="418">
                  <c:v>76.41</c:v>
                </c:pt>
                <c:pt idx="419">
                  <c:v>75.209999999999994</c:v>
                </c:pt>
                <c:pt idx="420">
                  <c:v>73.94</c:v>
                </c:pt>
                <c:pt idx="421">
                  <c:v>73.900000000000006</c:v>
                </c:pt>
                <c:pt idx="422">
                  <c:v>75.06</c:v>
                </c:pt>
                <c:pt idx="423">
                  <c:v>74.63</c:v>
                </c:pt>
                <c:pt idx="424">
                  <c:v>72</c:v>
                </c:pt>
                <c:pt idx="425">
                  <c:v>72.599999999999994</c:v>
                </c:pt>
                <c:pt idx="426">
                  <c:v>71.41</c:v>
                </c:pt>
                <c:pt idx="427">
                  <c:v>72.52</c:v>
                </c:pt>
                <c:pt idx="428">
                  <c:v>71.44</c:v>
                </c:pt>
                <c:pt idx="429">
                  <c:v>69.23</c:v>
                </c:pt>
                <c:pt idx="430">
                  <c:v>74.72</c:v>
                </c:pt>
                <c:pt idx="431">
                  <c:v>69.599999999999994</c:v>
                </c:pt>
                <c:pt idx="432">
                  <c:v>71.290000000000006</c:v>
                </c:pt>
                <c:pt idx="433">
                  <c:v>69.650000000000006</c:v>
                </c:pt>
                <c:pt idx="434">
                  <c:v>65.47</c:v>
                </c:pt>
                <c:pt idx="435">
                  <c:v>68.92</c:v>
                </c:pt>
                <c:pt idx="436">
                  <c:v>68.59</c:v>
                </c:pt>
                <c:pt idx="437">
                  <c:v>67.56</c:v>
                </c:pt>
                <c:pt idx="438">
                  <c:v>66.61</c:v>
                </c:pt>
                <c:pt idx="439">
                  <c:v>69.81</c:v>
                </c:pt>
                <c:pt idx="440">
                  <c:v>71.02</c:v>
                </c:pt>
                <c:pt idx="441">
                  <c:v>69.95</c:v>
                </c:pt>
                <c:pt idx="442">
                  <c:v>68.510000000000005</c:v>
                </c:pt>
                <c:pt idx="443">
                  <c:v>74.53</c:v>
                </c:pt>
                <c:pt idx="444">
                  <c:v>76.02</c:v>
                </c:pt>
                <c:pt idx="445">
                  <c:v>77.45</c:v>
                </c:pt>
                <c:pt idx="446">
                  <c:v>73.760000000000005</c:v>
                </c:pt>
                <c:pt idx="447">
                  <c:v>73.94</c:v>
                </c:pt>
                <c:pt idx="448">
                  <c:v>75.56</c:v>
                </c:pt>
                <c:pt idx="449">
                  <c:v>80.989999999999995</c:v>
                </c:pt>
                <c:pt idx="450">
                  <c:v>80.709999999999994</c:v>
                </c:pt>
                <c:pt idx="451">
                  <c:v>72.97</c:v>
                </c:pt>
                <c:pt idx="452">
                  <c:v>70.5</c:v>
                </c:pt>
                <c:pt idx="453">
                  <c:v>66.97</c:v>
                </c:pt>
                <c:pt idx="454">
                  <c:v>68.819999999999993</c:v>
                </c:pt>
                <c:pt idx="455">
                  <c:v>68.650000000000006</c:v>
                </c:pt>
                <c:pt idx="456">
                  <c:v>69.56</c:v>
                </c:pt>
                <c:pt idx="457">
                  <c:v>69</c:v>
                </c:pt>
                <c:pt idx="458">
                  <c:v>68.790000000000006</c:v>
                </c:pt>
                <c:pt idx="459">
                  <c:v>67.64</c:v>
                </c:pt>
                <c:pt idx="460">
                  <c:v>66.959999999999994</c:v>
                </c:pt>
                <c:pt idx="461">
                  <c:v>67.61</c:v>
                </c:pt>
                <c:pt idx="462">
                  <c:v>66.11</c:v>
                </c:pt>
                <c:pt idx="463">
                  <c:v>64.56</c:v>
                </c:pt>
                <c:pt idx="464">
                  <c:v>67.400000000000006</c:v>
                </c:pt>
                <c:pt idx="465">
                  <c:v>67.3</c:v>
                </c:pt>
                <c:pt idx="466">
                  <c:v>75.239999999999995</c:v>
                </c:pt>
                <c:pt idx="467">
                  <c:v>75.47</c:v>
                </c:pt>
                <c:pt idx="468">
                  <c:v>74.739999999999995</c:v>
                </c:pt>
                <c:pt idx="469">
                  <c:v>72.39</c:v>
                </c:pt>
                <c:pt idx="470">
                  <c:v>68.150000000000006</c:v>
                </c:pt>
                <c:pt idx="471">
                  <c:v>66.36</c:v>
                </c:pt>
                <c:pt idx="472">
                  <c:v>65.09</c:v>
                </c:pt>
                <c:pt idx="473">
                  <c:v>62.09</c:v>
                </c:pt>
                <c:pt idx="474">
                  <c:v>63.43</c:v>
                </c:pt>
                <c:pt idx="475">
                  <c:v>62.84</c:v>
                </c:pt>
                <c:pt idx="476">
                  <c:v>59.74</c:v>
                </c:pt>
                <c:pt idx="477">
                  <c:v>62.75</c:v>
                </c:pt>
                <c:pt idx="478">
                  <c:v>65.989999999999995</c:v>
                </c:pt>
                <c:pt idx="479">
                  <c:v>66.48</c:v>
                </c:pt>
                <c:pt idx="480">
                  <c:v>65.42</c:v>
                </c:pt>
                <c:pt idx="481">
                  <c:v>64.69</c:v>
                </c:pt>
                <c:pt idx="482">
                  <c:v>63.06</c:v>
                </c:pt>
                <c:pt idx="483">
                  <c:v>63.68</c:v>
                </c:pt>
                <c:pt idx="484">
                  <c:v>70.099999999999994</c:v>
                </c:pt>
                <c:pt idx="485">
                  <c:v>69.040000000000006</c:v>
                </c:pt>
                <c:pt idx="486">
                  <c:v>72.819999999999993</c:v>
                </c:pt>
                <c:pt idx="487">
                  <c:v>73.45</c:v>
                </c:pt>
                <c:pt idx="488">
                  <c:v>73.790000000000006</c:v>
                </c:pt>
                <c:pt idx="489">
                  <c:v>72</c:v>
                </c:pt>
                <c:pt idx="490">
                  <c:v>68.62</c:v>
                </c:pt>
                <c:pt idx="491">
                  <c:v>71.180000000000007</c:v>
                </c:pt>
                <c:pt idx="492">
                  <c:v>71.16</c:v>
                </c:pt>
                <c:pt idx="493">
                  <c:v>75.77</c:v>
                </c:pt>
                <c:pt idx="494">
                  <c:v>76.63</c:v>
                </c:pt>
                <c:pt idx="495">
                  <c:v>79.8</c:v>
                </c:pt>
                <c:pt idx="496">
                  <c:v>80.12</c:v>
                </c:pt>
                <c:pt idx="497">
                  <c:v>83.62</c:v>
                </c:pt>
                <c:pt idx="498">
                  <c:v>79.63</c:v>
                </c:pt>
                <c:pt idx="499">
                  <c:v>79.349999999999994</c:v>
                </c:pt>
                <c:pt idx="500">
                  <c:v>77.7</c:v>
                </c:pt>
                <c:pt idx="501">
                  <c:v>74.2</c:v>
                </c:pt>
                <c:pt idx="502">
                  <c:v>73.459999999999994</c:v>
                </c:pt>
                <c:pt idx="503">
                  <c:v>78.599999999999994</c:v>
                </c:pt>
                <c:pt idx="504">
                  <c:v>79.72</c:v>
                </c:pt>
                <c:pt idx="505">
                  <c:v>81.040000000000006</c:v>
                </c:pt>
                <c:pt idx="506">
                  <c:v>79.349999999999994</c:v>
                </c:pt>
                <c:pt idx="507">
                  <c:v>88.78</c:v>
                </c:pt>
                <c:pt idx="508">
                  <c:v>92.23</c:v>
                </c:pt>
                <c:pt idx="509">
                  <c:v>91.98</c:v>
                </c:pt>
                <c:pt idx="510">
                  <c:v>93.87</c:v>
                </c:pt>
                <c:pt idx="511">
                  <c:v>92.41</c:v>
                </c:pt>
                <c:pt idx="512">
                  <c:v>86.91</c:v>
                </c:pt>
                <c:pt idx="513">
                  <c:v>84.17</c:v>
                </c:pt>
                <c:pt idx="514">
                  <c:v>80.89</c:v>
                </c:pt>
                <c:pt idx="515">
                  <c:v>81.56</c:v>
                </c:pt>
                <c:pt idx="516">
                  <c:v>77.91</c:v>
                </c:pt>
                <c:pt idx="517">
                  <c:v>78.349999999999994</c:v>
                </c:pt>
                <c:pt idx="518">
                  <c:v>78.37</c:v>
                </c:pt>
                <c:pt idx="519">
                  <c:v>77.41</c:v>
                </c:pt>
                <c:pt idx="520">
                  <c:v>76.010000000000005</c:v>
                </c:pt>
                <c:pt idx="521">
                  <c:v>79.87</c:v>
                </c:pt>
                <c:pt idx="522">
                  <c:v>79.540000000000006</c:v>
                </c:pt>
                <c:pt idx="523">
                  <c:v>79.66</c:v>
                </c:pt>
                <c:pt idx="524">
                  <c:v>79.44</c:v>
                </c:pt>
                <c:pt idx="525">
                  <c:v>79.19</c:v>
                </c:pt>
                <c:pt idx="526">
                  <c:v>76.44</c:v>
                </c:pt>
                <c:pt idx="527">
                  <c:v>75.430000000000007</c:v>
                </c:pt>
                <c:pt idx="528">
                  <c:v>76.03</c:v>
                </c:pt>
                <c:pt idx="529">
                  <c:v>81.69</c:v>
                </c:pt>
                <c:pt idx="530">
                  <c:v>79.94</c:v>
                </c:pt>
                <c:pt idx="531">
                  <c:v>77.180000000000007</c:v>
                </c:pt>
                <c:pt idx="532">
                  <c:v>78.83</c:v>
                </c:pt>
                <c:pt idx="533">
                  <c:v>73.069999999999993</c:v>
                </c:pt>
                <c:pt idx="534">
                  <c:v>73.22</c:v>
                </c:pt>
                <c:pt idx="535">
                  <c:v>72.459999999999994</c:v>
                </c:pt>
                <c:pt idx="536">
                  <c:v>70.290000000000006</c:v>
                </c:pt>
                <c:pt idx="537">
                  <c:v>71.599999999999994</c:v>
                </c:pt>
                <c:pt idx="538">
                  <c:v>68.39</c:v>
                </c:pt>
                <c:pt idx="539">
                  <c:v>67.25</c:v>
                </c:pt>
                <c:pt idx="540">
                  <c:v>74.900000000000006</c:v>
                </c:pt>
                <c:pt idx="541">
                  <c:v>73.7</c:v>
                </c:pt>
                <c:pt idx="542">
                  <c:v>74.900000000000006</c:v>
                </c:pt>
                <c:pt idx="543">
                  <c:v>71.03</c:v>
                </c:pt>
                <c:pt idx="544">
                  <c:v>67.209999999999994</c:v>
                </c:pt>
                <c:pt idx="545">
                  <c:v>72.95</c:v>
                </c:pt>
                <c:pt idx="546">
                  <c:v>72.73</c:v>
                </c:pt>
                <c:pt idx="547">
                  <c:v>73.17</c:v>
                </c:pt>
                <c:pt idx="548">
                  <c:v>70.28</c:v>
                </c:pt>
                <c:pt idx="549">
                  <c:v>71.599999999999994</c:v>
                </c:pt>
                <c:pt idx="550">
                  <c:v>73.11</c:v>
                </c:pt>
                <c:pt idx="551">
                  <c:v>73.05</c:v>
                </c:pt>
                <c:pt idx="552">
                  <c:v>75.59</c:v>
                </c:pt>
                <c:pt idx="553">
                  <c:v>72.400000000000006</c:v>
                </c:pt>
                <c:pt idx="554">
                  <c:v>79.41</c:v>
                </c:pt>
                <c:pt idx="555">
                  <c:v>74.37</c:v>
                </c:pt>
                <c:pt idx="556">
                  <c:v>74.099999999999994</c:v>
                </c:pt>
                <c:pt idx="557">
                  <c:v>72.849999999999994</c:v>
                </c:pt>
                <c:pt idx="558">
                  <c:v>77.5</c:v>
                </c:pt>
                <c:pt idx="559">
                  <c:v>73.42</c:v>
                </c:pt>
                <c:pt idx="560">
                  <c:v>73.75</c:v>
                </c:pt>
                <c:pt idx="561">
                  <c:v>73.56</c:v>
                </c:pt>
                <c:pt idx="562">
                  <c:v>77.03</c:v>
                </c:pt>
                <c:pt idx="563">
                  <c:v>73.14</c:v>
                </c:pt>
                <c:pt idx="564">
                  <c:v>72</c:v>
                </c:pt>
                <c:pt idx="565">
                  <c:v>68.05</c:v>
                </c:pt>
                <c:pt idx="566">
                  <c:v>68.069999999999993</c:v>
                </c:pt>
                <c:pt idx="567">
                  <c:v>69.650000000000006</c:v>
                </c:pt>
                <c:pt idx="568">
                  <c:v>69.930000000000007</c:v>
                </c:pt>
                <c:pt idx="569">
                  <c:v>72.38</c:v>
                </c:pt>
                <c:pt idx="570">
                  <c:v>70.39</c:v>
                </c:pt>
                <c:pt idx="571">
                  <c:v>67.94</c:v>
                </c:pt>
                <c:pt idx="572">
                  <c:v>70.680000000000007</c:v>
                </c:pt>
                <c:pt idx="573">
                  <c:v>70.63</c:v>
                </c:pt>
                <c:pt idx="574">
                  <c:v>71.03</c:v>
                </c:pt>
                <c:pt idx="575">
                  <c:v>70.260000000000005</c:v>
                </c:pt>
                <c:pt idx="576">
                  <c:v>79.37</c:v>
                </c:pt>
                <c:pt idx="577">
                  <c:v>74.38</c:v>
                </c:pt>
                <c:pt idx="578">
                  <c:v>93.04</c:v>
                </c:pt>
                <c:pt idx="579">
                  <c:v>89.33</c:v>
                </c:pt>
                <c:pt idx="580">
                  <c:v>79.37</c:v>
                </c:pt>
                <c:pt idx="581">
                  <c:v>83.92</c:v>
                </c:pt>
                <c:pt idx="582">
                  <c:v>84.77</c:v>
                </c:pt>
                <c:pt idx="583">
                  <c:v>86.66</c:v>
                </c:pt>
                <c:pt idx="584">
                  <c:v>82.96</c:v>
                </c:pt>
                <c:pt idx="585">
                  <c:v>87.81</c:v>
                </c:pt>
                <c:pt idx="586">
                  <c:v>99.86</c:v>
                </c:pt>
                <c:pt idx="587">
                  <c:v>92.23</c:v>
                </c:pt>
                <c:pt idx="588">
                  <c:v>89.76</c:v>
                </c:pt>
                <c:pt idx="589">
                  <c:v>95.29</c:v>
                </c:pt>
                <c:pt idx="590">
                  <c:v>94.68</c:v>
                </c:pt>
                <c:pt idx="591">
                  <c:v>104.82</c:v>
                </c:pt>
                <c:pt idx="592">
                  <c:v>106.47</c:v>
                </c:pt>
                <c:pt idx="593">
                  <c:v>104.99</c:v>
                </c:pt>
                <c:pt idx="594">
                  <c:v>108.05</c:v>
                </c:pt>
                <c:pt idx="595">
                  <c:v>116</c:v>
                </c:pt>
                <c:pt idx="596">
                  <c:v>110.07</c:v>
                </c:pt>
                <c:pt idx="597">
                  <c:v>105.64</c:v>
                </c:pt>
                <c:pt idx="598">
                  <c:v>114.93</c:v>
                </c:pt>
                <c:pt idx="599">
                  <c:v>119.48</c:v>
                </c:pt>
                <c:pt idx="600">
                  <c:v>117.45</c:v>
                </c:pt>
                <c:pt idx="601">
                  <c:v>115.98</c:v>
                </c:pt>
                <c:pt idx="602">
                  <c:v>114.28</c:v>
                </c:pt>
                <c:pt idx="603">
                  <c:v>123.31</c:v>
                </c:pt>
                <c:pt idx="604">
                  <c:v>121.61</c:v>
                </c:pt>
                <c:pt idx="605">
                  <c:v>128.09</c:v>
                </c:pt>
                <c:pt idx="606">
                  <c:v>134.87</c:v>
                </c:pt>
                <c:pt idx="607">
                  <c:v>127.46</c:v>
                </c:pt>
                <c:pt idx="608">
                  <c:v>124.73</c:v>
                </c:pt>
                <c:pt idx="609">
                  <c:v>121.52</c:v>
                </c:pt>
                <c:pt idx="610">
                  <c:v>116.94</c:v>
                </c:pt>
                <c:pt idx="611">
                  <c:v>116.19</c:v>
                </c:pt>
                <c:pt idx="612">
                  <c:v>116.29</c:v>
                </c:pt>
                <c:pt idx="613">
                  <c:v>117.03</c:v>
                </c:pt>
                <c:pt idx="614">
                  <c:v>125</c:v>
                </c:pt>
                <c:pt idx="615">
                  <c:v>116.37</c:v>
                </c:pt>
                <c:pt idx="616">
                  <c:v>116.53</c:v>
                </c:pt>
                <c:pt idx="617">
                  <c:v>114.11</c:v>
                </c:pt>
                <c:pt idx="618">
                  <c:v>123.26</c:v>
                </c:pt>
                <c:pt idx="619">
                  <c:v>117.12</c:v>
                </c:pt>
                <c:pt idx="620">
                  <c:v>118.34</c:v>
                </c:pt>
                <c:pt idx="621">
                  <c:v>115.1</c:v>
                </c:pt>
                <c:pt idx="622">
                  <c:v>106.9</c:v>
                </c:pt>
                <c:pt idx="623">
                  <c:v>102.48</c:v>
                </c:pt>
                <c:pt idx="624">
                  <c:v>106.71</c:v>
                </c:pt>
                <c:pt idx="625">
                  <c:v>99.48</c:v>
                </c:pt>
                <c:pt idx="626">
                  <c:v>92.31</c:v>
                </c:pt>
                <c:pt idx="627">
                  <c:v>90.28</c:v>
                </c:pt>
                <c:pt idx="628">
                  <c:v>89.32</c:v>
                </c:pt>
                <c:pt idx="629">
                  <c:v>88.41</c:v>
                </c:pt>
                <c:pt idx="630">
                  <c:v>90.49</c:v>
                </c:pt>
                <c:pt idx="631">
                  <c:v>87.08</c:v>
                </c:pt>
                <c:pt idx="632">
                  <c:v>84.72</c:v>
                </c:pt>
                <c:pt idx="633">
                  <c:v>83.94</c:v>
                </c:pt>
                <c:pt idx="634">
                  <c:v>82.9</c:v>
                </c:pt>
                <c:pt idx="635">
                  <c:v>82.1</c:v>
                </c:pt>
                <c:pt idx="636">
                  <c:v>80.75</c:v>
                </c:pt>
                <c:pt idx="637">
                  <c:v>86.46</c:v>
                </c:pt>
                <c:pt idx="638">
                  <c:v>88.68</c:v>
                </c:pt>
                <c:pt idx="639">
                  <c:v>86.27</c:v>
                </c:pt>
                <c:pt idx="640">
                  <c:v>82.03</c:v>
                </c:pt>
                <c:pt idx="641">
                  <c:v>79.989999999999995</c:v>
                </c:pt>
                <c:pt idx="642">
                  <c:v>75.17</c:v>
                </c:pt>
                <c:pt idx="643">
                  <c:v>81.260000000000005</c:v>
                </c:pt>
                <c:pt idx="644">
                  <c:v>87.69</c:v>
                </c:pt>
                <c:pt idx="645">
                  <c:v>87.04</c:v>
                </c:pt>
                <c:pt idx="646">
                  <c:v>86.39</c:v>
                </c:pt>
                <c:pt idx="647">
                  <c:v>85.1</c:v>
                </c:pt>
                <c:pt idx="648">
                  <c:v>83.74</c:v>
                </c:pt>
                <c:pt idx="649">
                  <c:v>83.96</c:v>
                </c:pt>
                <c:pt idx="650">
                  <c:v>80.89</c:v>
                </c:pt>
                <c:pt idx="651">
                  <c:v>85.6</c:v>
                </c:pt>
                <c:pt idx="652">
                  <c:v>84.41</c:v>
                </c:pt>
                <c:pt idx="653">
                  <c:v>90.89</c:v>
                </c:pt>
                <c:pt idx="654">
                  <c:v>90.33</c:v>
                </c:pt>
                <c:pt idx="655">
                  <c:v>93.99</c:v>
                </c:pt>
                <c:pt idx="656">
                  <c:v>93.14</c:v>
                </c:pt>
                <c:pt idx="657">
                  <c:v>91.52</c:v>
                </c:pt>
                <c:pt idx="658">
                  <c:v>93.26</c:v>
                </c:pt>
                <c:pt idx="659">
                  <c:v>92.5</c:v>
                </c:pt>
                <c:pt idx="660">
                  <c:v>99.88</c:v>
                </c:pt>
                <c:pt idx="661">
                  <c:v>96.44</c:v>
                </c:pt>
                <c:pt idx="662">
                  <c:v>98.79</c:v>
                </c:pt>
                <c:pt idx="663">
                  <c:v>104.02</c:v>
                </c:pt>
                <c:pt idx="664">
                  <c:v>100.81</c:v>
                </c:pt>
                <c:pt idx="665">
                  <c:v>98.87</c:v>
                </c:pt>
                <c:pt idx="666">
                  <c:v>95.7</c:v>
                </c:pt>
                <c:pt idx="667">
                  <c:v>96.17</c:v>
                </c:pt>
                <c:pt idx="668">
                  <c:v>95.48</c:v>
                </c:pt>
                <c:pt idx="669">
                  <c:v>98.22</c:v>
                </c:pt>
                <c:pt idx="670">
                  <c:v>98.98</c:v>
                </c:pt>
                <c:pt idx="671">
                  <c:v>98.72</c:v>
                </c:pt>
                <c:pt idx="672">
                  <c:v>96.48</c:v>
                </c:pt>
                <c:pt idx="673">
                  <c:v>92.25</c:v>
                </c:pt>
                <c:pt idx="674">
                  <c:v>91.57</c:v>
                </c:pt>
                <c:pt idx="675">
                  <c:v>92.26</c:v>
                </c:pt>
                <c:pt idx="676">
                  <c:v>94.01</c:v>
                </c:pt>
                <c:pt idx="677">
                  <c:v>94.38</c:v>
                </c:pt>
                <c:pt idx="678">
                  <c:v>95.98</c:v>
                </c:pt>
                <c:pt idx="679">
                  <c:v>94.67</c:v>
                </c:pt>
                <c:pt idx="680">
                  <c:v>91.04</c:v>
                </c:pt>
                <c:pt idx="681">
                  <c:v>91.93</c:v>
                </c:pt>
                <c:pt idx="682">
                  <c:v>95.07</c:v>
                </c:pt>
                <c:pt idx="683">
                  <c:v>89.11</c:v>
                </c:pt>
                <c:pt idx="684">
                  <c:v>88.27</c:v>
                </c:pt>
                <c:pt idx="685">
                  <c:v>90.66</c:v>
                </c:pt>
                <c:pt idx="686">
                  <c:v>93.02</c:v>
                </c:pt>
                <c:pt idx="687">
                  <c:v>89.13</c:v>
                </c:pt>
                <c:pt idx="688">
                  <c:v>88.93</c:v>
                </c:pt>
                <c:pt idx="689">
                  <c:v>89.37</c:v>
                </c:pt>
                <c:pt idx="690">
                  <c:v>91.08</c:v>
                </c:pt>
                <c:pt idx="691">
                  <c:v>93.86</c:v>
                </c:pt>
                <c:pt idx="692">
                  <c:v>90.75</c:v>
                </c:pt>
                <c:pt idx="693">
                  <c:v>85.6</c:v>
                </c:pt>
                <c:pt idx="694">
                  <c:v>89.88</c:v>
                </c:pt>
                <c:pt idx="695">
                  <c:v>88.26</c:v>
                </c:pt>
                <c:pt idx="696">
                  <c:v>90.09</c:v>
                </c:pt>
                <c:pt idx="697">
                  <c:v>85.36</c:v>
                </c:pt>
                <c:pt idx="698">
                  <c:v>85.35</c:v>
                </c:pt>
                <c:pt idx="699">
                  <c:v>81.81</c:v>
                </c:pt>
                <c:pt idx="700">
                  <c:v>78.13</c:v>
                </c:pt>
                <c:pt idx="701">
                  <c:v>80.069999999999993</c:v>
                </c:pt>
                <c:pt idx="702">
                  <c:v>75.209999999999994</c:v>
                </c:pt>
                <c:pt idx="703">
                  <c:v>74.8</c:v>
                </c:pt>
                <c:pt idx="704">
                  <c:v>73.56</c:v>
                </c:pt>
                <c:pt idx="705">
                  <c:v>73.11</c:v>
                </c:pt>
                <c:pt idx="706">
                  <c:v>71.39</c:v>
                </c:pt>
                <c:pt idx="707">
                  <c:v>70.16</c:v>
                </c:pt>
                <c:pt idx="708">
                  <c:v>71.760000000000005</c:v>
                </c:pt>
                <c:pt idx="709">
                  <c:v>70.97</c:v>
                </c:pt>
                <c:pt idx="710">
                  <c:v>71.680000000000007</c:v>
                </c:pt>
                <c:pt idx="711">
                  <c:v>74.680000000000007</c:v>
                </c:pt>
                <c:pt idx="712">
                  <c:v>72.709999999999994</c:v>
                </c:pt>
                <c:pt idx="713">
                  <c:v>70.39</c:v>
                </c:pt>
                <c:pt idx="714">
                  <c:v>69.61</c:v>
                </c:pt>
                <c:pt idx="715">
                  <c:v>67.86</c:v>
                </c:pt>
                <c:pt idx="716">
                  <c:v>68.260000000000005</c:v>
                </c:pt>
                <c:pt idx="717">
                  <c:v>66.39</c:v>
                </c:pt>
                <c:pt idx="718">
                  <c:v>68.72</c:v>
                </c:pt>
                <c:pt idx="719">
                  <c:v>65.22</c:v>
                </c:pt>
                <c:pt idx="720">
                  <c:v>67.510000000000005</c:v>
                </c:pt>
                <c:pt idx="721">
                  <c:v>65.790000000000006</c:v>
                </c:pt>
                <c:pt idx="722">
                  <c:v>64.95</c:v>
                </c:pt>
                <c:pt idx="723">
                  <c:v>69.72</c:v>
                </c:pt>
                <c:pt idx="724">
                  <c:v>68.92</c:v>
                </c:pt>
                <c:pt idx="725">
                  <c:v>75.48</c:v>
                </c:pt>
                <c:pt idx="726">
                  <c:v>75.48</c:v>
                </c:pt>
                <c:pt idx="727">
                  <c:v>75.52</c:v>
                </c:pt>
                <c:pt idx="728">
                  <c:v>72.81</c:v>
                </c:pt>
                <c:pt idx="729">
                  <c:v>72.040000000000006</c:v>
                </c:pt>
                <c:pt idx="730">
                  <c:v>74.16</c:v>
                </c:pt>
                <c:pt idx="731">
                  <c:v>74.22</c:v>
                </c:pt>
                <c:pt idx="732">
                  <c:v>72.12</c:v>
                </c:pt>
                <c:pt idx="733">
                  <c:v>71.42</c:v>
                </c:pt>
                <c:pt idx="734">
                  <c:v>69.819999999999993</c:v>
                </c:pt>
                <c:pt idx="735">
                  <c:v>70.36</c:v>
                </c:pt>
                <c:pt idx="736">
                  <c:v>70.77</c:v>
                </c:pt>
                <c:pt idx="737">
                  <c:v>71.150000000000006</c:v>
                </c:pt>
                <c:pt idx="738">
                  <c:v>72.790000000000006</c:v>
                </c:pt>
                <c:pt idx="739">
                  <c:v>74.66</c:v>
                </c:pt>
                <c:pt idx="740">
                  <c:v>76.86</c:v>
                </c:pt>
                <c:pt idx="741">
                  <c:v>77.53</c:v>
                </c:pt>
                <c:pt idx="742">
                  <c:v>81.87</c:v>
                </c:pt>
                <c:pt idx="743">
                  <c:v>79.38</c:v>
                </c:pt>
                <c:pt idx="744">
                  <c:v>80.290000000000006</c:v>
                </c:pt>
                <c:pt idx="745">
                  <c:v>76.41</c:v>
                </c:pt>
                <c:pt idx="746">
                  <c:v>74.400000000000006</c:v>
                </c:pt>
                <c:pt idx="747">
                  <c:v>77.45</c:v>
                </c:pt>
                <c:pt idx="748">
                  <c:v>84.69</c:v>
                </c:pt>
                <c:pt idx="749">
                  <c:v>87.28</c:v>
                </c:pt>
                <c:pt idx="750">
                  <c:v>91.23</c:v>
                </c:pt>
                <c:pt idx="751">
                  <c:v>90.86</c:v>
                </c:pt>
                <c:pt idx="752">
                  <c:v>88.19</c:v>
                </c:pt>
                <c:pt idx="753">
                  <c:v>83.91</c:v>
                </c:pt>
                <c:pt idx="754">
                  <c:v>84.23</c:v>
                </c:pt>
                <c:pt idx="755">
                  <c:v>83.82</c:v>
                </c:pt>
                <c:pt idx="756">
                  <c:v>84.89</c:v>
                </c:pt>
                <c:pt idx="757">
                  <c:v>81.260000000000005</c:v>
                </c:pt>
                <c:pt idx="758">
                  <c:v>82.11</c:v>
                </c:pt>
                <c:pt idx="759">
                  <c:v>82.69</c:v>
                </c:pt>
                <c:pt idx="760">
                  <c:v>81.64</c:v>
                </c:pt>
                <c:pt idx="761">
                  <c:v>86.92</c:v>
                </c:pt>
                <c:pt idx="762">
                  <c:v>85.22</c:v>
                </c:pt>
                <c:pt idx="763">
                  <c:v>85.43</c:v>
                </c:pt>
                <c:pt idx="764">
                  <c:v>85.05</c:v>
                </c:pt>
                <c:pt idx="765">
                  <c:v>88.49</c:v>
                </c:pt>
                <c:pt idx="766">
                  <c:v>86.49</c:v>
                </c:pt>
                <c:pt idx="767">
                  <c:v>83.87</c:v>
                </c:pt>
                <c:pt idx="768">
                  <c:v>84.15</c:v>
                </c:pt>
                <c:pt idx="769">
                  <c:v>86.1</c:v>
                </c:pt>
                <c:pt idx="770">
                  <c:v>85.64</c:v>
                </c:pt>
                <c:pt idx="771">
                  <c:v>83.96</c:v>
                </c:pt>
                <c:pt idx="772">
                  <c:v>82.57</c:v>
                </c:pt>
                <c:pt idx="773">
                  <c:v>77.599999999999994</c:v>
                </c:pt>
                <c:pt idx="774">
                  <c:v>79.69</c:v>
                </c:pt>
                <c:pt idx="775">
                  <c:v>79.599999999999994</c:v>
                </c:pt>
                <c:pt idx="776">
                  <c:v>79.680000000000007</c:v>
                </c:pt>
                <c:pt idx="777">
                  <c:v>81.319999999999993</c:v>
                </c:pt>
                <c:pt idx="778">
                  <c:v>83.2</c:v>
                </c:pt>
                <c:pt idx="779">
                  <c:v>85.63</c:v>
                </c:pt>
                <c:pt idx="780">
                  <c:v>86.17</c:v>
                </c:pt>
                <c:pt idx="781">
                  <c:v>82.88</c:v>
                </c:pt>
                <c:pt idx="782">
                  <c:v>81.42</c:v>
                </c:pt>
                <c:pt idx="783">
                  <c:v>80.58</c:v>
                </c:pt>
                <c:pt idx="784">
                  <c:v>81.52</c:v>
                </c:pt>
                <c:pt idx="785">
                  <c:v>85.64</c:v>
                </c:pt>
                <c:pt idx="786">
                  <c:v>83.64</c:v>
                </c:pt>
                <c:pt idx="787">
                  <c:v>82.49</c:v>
                </c:pt>
                <c:pt idx="788">
                  <c:v>80.98</c:v>
                </c:pt>
                <c:pt idx="789">
                  <c:v>80.45</c:v>
                </c:pt>
                <c:pt idx="790">
                  <c:v>75.3</c:v>
                </c:pt>
                <c:pt idx="791">
                  <c:v>72.8</c:v>
                </c:pt>
                <c:pt idx="792">
                  <c:v>73.010000000000005</c:v>
                </c:pt>
                <c:pt idx="793">
                  <c:v>74.349999999999994</c:v>
                </c:pt>
                <c:pt idx="794">
                  <c:v>76.680000000000007</c:v>
                </c:pt>
                <c:pt idx="795">
                  <c:v>77.099999999999994</c:v>
                </c:pt>
                <c:pt idx="796">
                  <c:v>73.88</c:v>
                </c:pt>
                <c:pt idx="797">
                  <c:v>73.47</c:v>
                </c:pt>
                <c:pt idx="798">
                  <c:v>72.790000000000006</c:v>
                </c:pt>
                <c:pt idx="799">
                  <c:v>71.05</c:v>
                </c:pt>
                <c:pt idx="800">
                  <c:v>70.13</c:v>
                </c:pt>
                <c:pt idx="801">
                  <c:v>73.17</c:v>
                </c:pt>
                <c:pt idx="802">
                  <c:v>71.53</c:v>
                </c:pt>
                <c:pt idx="803">
                  <c:v>72.59</c:v>
                </c:pt>
                <c:pt idx="804">
                  <c:v>75.599999999999994</c:v>
                </c:pt>
                <c:pt idx="805">
                  <c:v>81.28</c:v>
                </c:pt>
                <c:pt idx="806">
                  <c:v>79.959999999999994</c:v>
                </c:pt>
                <c:pt idx="807">
                  <c:v>80.45</c:v>
                </c:pt>
                <c:pt idx="808">
                  <c:v>84.22</c:v>
                </c:pt>
                <c:pt idx="809">
                  <c:v>81.11</c:v>
                </c:pt>
                <c:pt idx="810">
                  <c:v>76.319999999999993</c:v>
                </c:pt>
                <c:pt idx="811">
                  <c:v>76.7</c:v>
                </c:pt>
                <c:pt idx="812">
                  <c:v>76.55</c:v>
                </c:pt>
                <c:pt idx="813">
                  <c:v>78.47</c:v>
                </c:pt>
                <c:pt idx="814">
                  <c:v>77.760000000000005</c:v>
                </c:pt>
                <c:pt idx="815">
                  <c:v>77.97</c:v>
                </c:pt>
                <c:pt idx="816">
                  <c:v>75.59</c:v>
                </c:pt>
                <c:pt idx="817">
                  <c:v>74.41</c:v>
                </c:pt>
                <c:pt idx="818">
                  <c:v>77.12</c:v>
                </c:pt>
                <c:pt idx="819">
                  <c:v>81</c:v>
                </c:pt>
                <c:pt idx="820">
                  <c:v>77.069999999999993</c:v>
                </c:pt>
                <c:pt idx="821">
                  <c:v>75.48</c:v>
                </c:pt>
                <c:pt idx="822">
                  <c:v>77.510000000000005</c:v>
                </c:pt>
                <c:pt idx="823">
                  <c:v>75.69</c:v>
                </c:pt>
                <c:pt idx="824">
                  <c:v>76.17</c:v>
                </c:pt>
                <c:pt idx="825">
                  <c:v>71.39</c:v>
                </c:pt>
                <c:pt idx="826">
                  <c:v>72.36</c:v>
                </c:pt>
                <c:pt idx="827">
                  <c:v>71.14</c:v>
                </c:pt>
                <c:pt idx="828">
                  <c:v>72.25</c:v>
                </c:pt>
                <c:pt idx="829">
                  <c:v>71.7</c:v>
                </c:pt>
                <c:pt idx="830">
                  <c:v>69.36</c:v>
                </c:pt>
                <c:pt idx="831">
                  <c:v>70.39</c:v>
                </c:pt>
                <c:pt idx="832">
                  <c:v>71</c:v>
                </c:pt>
                <c:pt idx="833">
                  <c:v>68.260000000000005</c:v>
                </c:pt>
                <c:pt idx="834">
                  <c:v>68.180000000000007</c:v>
                </c:pt>
                <c:pt idx="835">
                  <c:v>70.78</c:v>
                </c:pt>
                <c:pt idx="836">
                  <c:v>71.739999999999995</c:v>
                </c:pt>
                <c:pt idx="837">
                  <c:v>70.540000000000006</c:v>
                </c:pt>
                <c:pt idx="838">
                  <c:v>68.989999999999995</c:v>
                </c:pt>
                <c:pt idx="839">
                  <c:v>71.319999999999993</c:v>
                </c:pt>
                <c:pt idx="840">
                  <c:v>76.25</c:v>
                </c:pt>
                <c:pt idx="841">
                  <c:v>76.13</c:v>
                </c:pt>
                <c:pt idx="842">
                  <c:v>73.56</c:v>
                </c:pt>
                <c:pt idx="843">
                  <c:v>71.5</c:v>
                </c:pt>
                <c:pt idx="844">
                  <c:v>71.010000000000005</c:v>
                </c:pt>
                <c:pt idx="845">
                  <c:v>68.099999999999994</c:v>
                </c:pt>
                <c:pt idx="846">
                  <c:v>65.540000000000006</c:v>
                </c:pt>
                <c:pt idx="847">
                  <c:v>64.97</c:v>
                </c:pt>
                <c:pt idx="848">
                  <c:v>64.97</c:v>
                </c:pt>
                <c:pt idx="849">
                  <c:v>68.84</c:v>
                </c:pt>
                <c:pt idx="850">
                  <c:v>67.069999999999993</c:v>
                </c:pt>
                <c:pt idx="851">
                  <c:v>69.849999999999994</c:v>
                </c:pt>
                <c:pt idx="852">
                  <c:v>67.760000000000005</c:v>
                </c:pt>
                <c:pt idx="853">
                  <c:v>68.63</c:v>
                </c:pt>
                <c:pt idx="854">
                  <c:v>78.16</c:v>
                </c:pt>
                <c:pt idx="855">
                  <c:v>77.599999999999994</c:v>
                </c:pt>
                <c:pt idx="856">
                  <c:v>79.88</c:v>
                </c:pt>
                <c:pt idx="857">
                  <c:v>82.28</c:v>
                </c:pt>
                <c:pt idx="858">
                  <c:v>80.41</c:v>
                </c:pt>
                <c:pt idx="859">
                  <c:v>85.43</c:v>
                </c:pt>
                <c:pt idx="860">
                  <c:v>78.099999999999994</c:v>
                </c:pt>
                <c:pt idx="861">
                  <c:v>89.9</c:v>
                </c:pt>
                <c:pt idx="862">
                  <c:v>91.98</c:v>
                </c:pt>
                <c:pt idx="863">
                  <c:v>90.16</c:v>
                </c:pt>
                <c:pt idx="864">
                  <c:v>85.97</c:v>
                </c:pt>
                <c:pt idx="865">
                  <c:v>79.099999999999994</c:v>
                </c:pt>
                <c:pt idx="866">
                  <c:v>73.72</c:v>
                </c:pt>
                <c:pt idx="867">
                  <c:v>68.83</c:v>
                </c:pt>
                <c:pt idx="868">
                  <c:v>68.489999999999995</c:v>
                </c:pt>
                <c:pt idx="869">
                  <c:v>73.05</c:v>
                </c:pt>
                <c:pt idx="870">
                  <c:v>80.77</c:v>
                </c:pt>
                <c:pt idx="871">
                  <c:v>80.28</c:v>
                </c:pt>
                <c:pt idx="872">
                  <c:v>83.31</c:v>
                </c:pt>
                <c:pt idx="873">
                  <c:v>83.97</c:v>
                </c:pt>
                <c:pt idx="874">
                  <c:v>79.150000000000006</c:v>
                </c:pt>
                <c:pt idx="875">
                  <c:v>79.27</c:v>
                </c:pt>
                <c:pt idx="876">
                  <c:v>75.56</c:v>
                </c:pt>
                <c:pt idx="877">
                  <c:v>75.84</c:v>
                </c:pt>
                <c:pt idx="878">
                  <c:v>75.05</c:v>
                </c:pt>
                <c:pt idx="879">
                  <c:v>73.91</c:v>
                </c:pt>
                <c:pt idx="880">
                  <c:v>83.24</c:v>
                </c:pt>
                <c:pt idx="881">
                  <c:v>81.58</c:v>
                </c:pt>
                <c:pt idx="882">
                  <c:v>80.739999999999995</c:v>
                </c:pt>
                <c:pt idx="883">
                  <c:v>78.260000000000005</c:v>
                </c:pt>
                <c:pt idx="884">
                  <c:v>78.52</c:v>
                </c:pt>
                <c:pt idx="885">
                  <c:v>77.180000000000007</c:v>
                </c:pt>
                <c:pt idx="886">
                  <c:v>77.75</c:v>
                </c:pt>
                <c:pt idx="887">
                  <c:v>79.569999999999993</c:v>
                </c:pt>
                <c:pt idx="888">
                  <c:v>84.93</c:v>
                </c:pt>
                <c:pt idx="889">
                  <c:v>84.56</c:v>
                </c:pt>
                <c:pt idx="890">
                  <c:v>82.87</c:v>
                </c:pt>
                <c:pt idx="891">
                  <c:v>81.64</c:v>
                </c:pt>
                <c:pt idx="892">
                  <c:v>80.989999999999995</c:v>
                </c:pt>
                <c:pt idx="893">
                  <c:v>82.05</c:v>
                </c:pt>
                <c:pt idx="894">
                  <c:v>83.56</c:v>
                </c:pt>
                <c:pt idx="895">
                  <c:v>81.75</c:v>
                </c:pt>
                <c:pt idx="896">
                  <c:v>79.62</c:v>
                </c:pt>
                <c:pt idx="897">
                  <c:v>71.45</c:v>
                </c:pt>
                <c:pt idx="898">
                  <c:v>69.81</c:v>
                </c:pt>
                <c:pt idx="899">
                  <c:v>68.81</c:v>
                </c:pt>
                <c:pt idx="900">
                  <c:v>69.89</c:v>
                </c:pt>
                <c:pt idx="901">
                  <c:v>69.099999999999994</c:v>
                </c:pt>
                <c:pt idx="902">
                  <c:v>70.36</c:v>
                </c:pt>
                <c:pt idx="903">
                  <c:v>74.989999999999995</c:v>
                </c:pt>
                <c:pt idx="904">
                  <c:v>73.3</c:v>
                </c:pt>
                <c:pt idx="905">
                  <c:v>70.36</c:v>
                </c:pt>
                <c:pt idx="906">
                  <c:v>67.650000000000006</c:v>
                </c:pt>
                <c:pt idx="907">
                  <c:v>67.150000000000006</c:v>
                </c:pt>
                <c:pt idx="908">
                  <c:v>65.709999999999994</c:v>
                </c:pt>
                <c:pt idx="909">
                  <c:v>64.87</c:v>
                </c:pt>
                <c:pt idx="910">
                  <c:v>70.42</c:v>
                </c:pt>
                <c:pt idx="911">
                  <c:v>75.53</c:v>
                </c:pt>
                <c:pt idx="912">
                  <c:v>74.52</c:v>
                </c:pt>
                <c:pt idx="913">
                  <c:v>74.27</c:v>
                </c:pt>
                <c:pt idx="914">
                  <c:v>73.5</c:v>
                </c:pt>
                <c:pt idx="915">
                  <c:v>80.36</c:v>
                </c:pt>
                <c:pt idx="916">
                  <c:v>88.82</c:v>
                </c:pt>
                <c:pt idx="917">
                  <c:v>100.06</c:v>
                </c:pt>
                <c:pt idx="918">
                  <c:v>90.58</c:v>
                </c:pt>
                <c:pt idx="919">
                  <c:v>90.04</c:v>
                </c:pt>
                <c:pt idx="920">
                  <c:v>85.86</c:v>
                </c:pt>
                <c:pt idx="921">
                  <c:v>87.91</c:v>
                </c:pt>
                <c:pt idx="922">
                  <c:v>89</c:v>
                </c:pt>
                <c:pt idx="923">
                  <c:v>83.73</c:v>
                </c:pt>
                <c:pt idx="924">
                  <c:v>80.98</c:v>
                </c:pt>
                <c:pt idx="925">
                  <c:v>80.55</c:v>
                </c:pt>
                <c:pt idx="926">
                  <c:v>91.42</c:v>
                </c:pt>
                <c:pt idx="927">
                  <c:v>88.22</c:v>
                </c:pt>
                <c:pt idx="928">
                  <c:v>90.01</c:v>
                </c:pt>
                <c:pt idx="929">
                  <c:v>88.8</c:v>
                </c:pt>
                <c:pt idx="930">
                  <c:v>92.18</c:v>
                </c:pt>
                <c:pt idx="931">
                  <c:v>89.59</c:v>
                </c:pt>
                <c:pt idx="932">
                  <c:v>88.16</c:v>
                </c:pt>
                <c:pt idx="933">
                  <c:v>81.77</c:v>
                </c:pt>
                <c:pt idx="934">
                  <c:v>80.290000000000006</c:v>
                </c:pt>
                <c:pt idx="935">
                  <c:v>79.2</c:v>
                </c:pt>
                <c:pt idx="936">
                  <c:v>77.97</c:v>
                </c:pt>
                <c:pt idx="937">
                  <c:v>75.44</c:v>
                </c:pt>
                <c:pt idx="938">
                  <c:v>77.819999999999993</c:v>
                </c:pt>
                <c:pt idx="939">
                  <c:v>75.930000000000007</c:v>
                </c:pt>
                <c:pt idx="940">
                  <c:v>75.3</c:v>
                </c:pt>
                <c:pt idx="941">
                  <c:v>73.13</c:v>
                </c:pt>
                <c:pt idx="942">
                  <c:v>73.239999999999995</c:v>
                </c:pt>
                <c:pt idx="943">
                  <c:v>73.430000000000007</c:v>
                </c:pt>
                <c:pt idx="944">
                  <c:v>72.61</c:v>
                </c:pt>
                <c:pt idx="945">
                  <c:v>70.510000000000005</c:v>
                </c:pt>
                <c:pt idx="946">
                  <c:v>71.06</c:v>
                </c:pt>
                <c:pt idx="947">
                  <c:v>70.900000000000006</c:v>
                </c:pt>
                <c:pt idx="948">
                  <c:v>71.489999999999995</c:v>
                </c:pt>
                <c:pt idx="949">
                  <c:v>76.2</c:v>
                </c:pt>
                <c:pt idx="950">
                  <c:v>76.16</c:v>
                </c:pt>
                <c:pt idx="951">
                  <c:v>73.739999999999995</c:v>
                </c:pt>
                <c:pt idx="952">
                  <c:v>75.22</c:v>
                </c:pt>
                <c:pt idx="953">
                  <c:v>76.41</c:v>
                </c:pt>
                <c:pt idx="954">
                  <c:v>73.16</c:v>
                </c:pt>
                <c:pt idx="955">
                  <c:v>76.459999999999994</c:v>
                </c:pt>
                <c:pt idx="956">
                  <c:v>76.680000000000007</c:v>
                </c:pt>
                <c:pt idx="957">
                  <c:v>77.75</c:v>
                </c:pt>
                <c:pt idx="958">
                  <c:v>78.31</c:v>
                </c:pt>
                <c:pt idx="959">
                  <c:v>80.680000000000007</c:v>
                </c:pt>
                <c:pt idx="960">
                  <c:v>83.82</c:v>
                </c:pt>
                <c:pt idx="961">
                  <c:v>81.56</c:v>
                </c:pt>
                <c:pt idx="962">
                  <c:v>78.75</c:v>
                </c:pt>
                <c:pt idx="963">
                  <c:v>76.91</c:v>
                </c:pt>
                <c:pt idx="964">
                  <c:v>77.489999999999995</c:v>
                </c:pt>
                <c:pt idx="965">
                  <c:v>78.290000000000006</c:v>
                </c:pt>
                <c:pt idx="966">
                  <c:v>76.97</c:v>
                </c:pt>
                <c:pt idx="967">
                  <c:v>76.819999999999993</c:v>
                </c:pt>
                <c:pt idx="968">
                  <c:v>78.16</c:v>
                </c:pt>
                <c:pt idx="969">
                  <c:v>77.06</c:v>
                </c:pt>
                <c:pt idx="970">
                  <c:v>78.239999999999995</c:v>
                </c:pt>
                <c:pt idx="971">
                  <c:v>80.06</c:v>
                </c:pt>
                <c:pt idx="972">
                  <c:v>79.97</c:v>
                </c:pt>
                <c:pt idx="973">
                  <c:v>83.31</c:v>
                </c:pt>
                <c:pt idx="974">
                  <c:v>83.1</c:v>
                </c:pt>
                <c:pt idx="975">
                  <c:v>86.29</c:v>
                </c:pt>
                <c:pt idx="976">
                  <c:v>81.72</c:v>
                </c:pt>
                <c:pt idx="977">
                  <c:v>79.650000000000006</c:v>
                </c:pt>
                <c:pt idx="978">
                  <c:v>83.89</c:v>
                </c:pt>
                <c:pt idx="979">
                  <c:v>85.76</c:v>
                </c:pt>
                <c:pt idx="980">
                  <c:v>88.14</c:v>
                </c:pt>
                <c:pt idx="981">
                  <c:v>87.53</c:v>
                </c:pt>
                <c:pt idx="982">
                  <c:v>103.23</c:v>
                </c:pt>
                <c:pt idx="983">
                  <c:v>101.7</c:v>
                </c:pt>
                <c:pt idx="984">
                  <c:v>92.44</c:v>
                </c:pt>
                <c:pt idx="985">
                  <c:v>101.41</c:v>
                </c:pt>
                <c:pt idx="986">
                  <c:v>95.68</c:v>
                </c:pt>
                <c:pt idx="987">
                  <c:v>101.88</c:v>
                </c:pt>
                <c:pt idx="988">
                  <c:v>105.59</c:v>
                </c:pt>
                <c:pt idx="989">
                  <c:v>125.36</c:v>
                </c:pt>
                <c:pt idx="990">
                  <c:v>135.38</c:v>
                </c:pt>
                <c:pt idx="991">
                  <c:v>110.96</c:v>
                </c:pt>
                <c:pt idx="992">
                  <c:v>113.95</c:v>
                </c:pt>
                <c:pt idx="993">
                  <c:v>116.53</c:v>
                </c:pt>
                <c:pt idx="994">
                  <c:v>123.17</c:v>
                </c:pt>
                <c:pt idx="995">
                  <c:v>128.34</c:v>
                </c:pt>
                <c:pt idx="996">
                  <c:v>120.97</c:v>
                </c:pt>
                <c:pt idx="997">
                  <c:v>135.82</c:v>
                </c:pt>
                <c:pt idx="998">
                  <c:v>128.44</c:v>
                </c:pt>
                <c:pt idx="999">
                  <c:v>145.12</c:v>
                </c:pt>
                <c:pt idx="1000">
                  <c:v>130.66999999999999</c:v>
                </c:pt>
                <c:pt idx="1001">
                  <c:v>123.87</c:v>
                </c:pt>
                <c:pt idx="1002">
                  <c:v>119.36</c:v>
                </c:pt>
                <c:pt idx="1003">
                  <c:v>115.68</c:v>
                </c:pt>
                <c:pt idx="1004">
                  <c:v>107.64</c:v>
                </c:pt>
                <c:pt idx="1005">
                  <c:v>110.13</c:v>
                </c:pt>
                <c:pt idx="1006">
                  <c:v>109.92</c:v>
                </c:pt>
                <c:pt idx="1007">
                  <c:v>98.02</c:v>
                </c:pt>
                <c:pt idx="1008">
                  <c:v>95.61</c:v>
                </c:pt>
                <c:pt idx="1009">
                  <c:v>103.31</c:v>
                </c:pt>
                <c:pt idx="1010">
                  <c:v>102.76</c:v>
                </c:pt>
                <c:pt idx="1011">
                  <c:v>101.79</c:v>
                </c:pt>
                <c:pt idx="1012">
                  <c:v>111.77</c:v>
                </c:pt>
                <c:pt idx="1013">
                  <c:v>108.61</c:v>
                </c:pt>
                <c:pt idx="1014">
                  <c:v>103.69</c:v>
                </c:pt>
                <c:pt idx="1015">
                  <c:v>99.92</c:v>
                </c:pt>
                <c:pt idx="1016">
                  <c:v>99</c:v>
                </c:pt>
                <c:pt idx="1017">
                  <c:v>93.67</c:v>
                </c:pt>
                <c:pt idx="1018">
                  <c:v>89.65</c:v>
                </c:pt>
                <c:pt idx="1019">
                  <c:v>92.36</c:v>
                </c:pt>
                <c:pt idx="1020">
                  <c:v>96.01</c:v>
                </c:pt>
                <c:pt idx="1021">
                  <c:v>101.65</c:v>
                </c:pt>
                <c:pt idx="1022">
                  <c:v>98.93</c:v>
                </c:pt>
                <c:pt idx="1023">
                  <c:v>103.69</c:v>
                </c:pt>
                <c:pt idx="1024">
                  <c:v>97.51</c:v>
                </c:pt>
                <c:pt idx="1025">
                  <c:v>99.01</c:v>
                </c:pt>
                <c:pt idx="1026">
                  <c:v>104</c:v>
                </c:pt>
                <c:pt idx="1027">
                  <c:v>105.16</c:v>
                </c:pt>
                <c:pt idx="1028">
                  <c:v>100.69</c:v>
                </c:pt>
                <c:pt idx="1029">
                  <c:v>97.19</c:v>
                </c:pt>
                <c:pt idx="1030">
                  <c:v>97.58</c:v>
                </c:pt>
                <c:pt idx="1031">
                  <c:v>92.14</c:v>
                </c:pt>
                <c:pt idx="1032">
                  <c:v>89.85</c:v>
                </c:pt>
                <c:pt idx="1033">
                  <c:v>88.58</c:v>
                </c:pt>
                <c:pt idx="1034">
                  <c:v>91.75</c:v>
                </c:pt>
                <c:pt idx="1035">
                  <c:v>90.8</c:v>
                </c:pt>
                <c:pt idx="1036">
                  <c:v>96.13</c:v>
                </c:pt>
                <c:pt idx="1037">
                  <c:v>97.75</c:v>
                </c:pt>
                <c:pt idx="1038">
                  <c:v>101.57</c:v>
                </c:pt>
                <c:pt idx="1039">
                  <c:v>102.58</c:v>
                </c:pt>
                <c:pt idx="1040">
                  <c:v>98.89</c:v>
                </c:pt>
                <c:pt idx="1041">
                  <c:v>97.02</c:v>
                </c:pt>
                <c:pt idx="1042">
                  <c:v>93.2</c:v>
                </c:pt>
                <c:pt idx="1043">
                  <c:v>89.9</c:v>
                </c:pt>
                <c:pt idx="1044">
                  <c:v>88.55</c:v>
                </c:pt>
                <c:pt idx="1045">
                  <c:v>90.14</c:v>
                </c:pt>
                <c:pt idx="1046">
                  <c:v>90.71</c:v>
                </c:pt>
                <c:pt idx="1047">
                  <c:v>90.62</c:v>
                </c:pt>
                <c:pt idx="1048">
                  <c:v>89.55</c:v>
                </c:pt>
                <c:pt idx="1049">
                  <c:v>85.02</c:v>
                </c:pt>
                <c:pt idx="1050">
                  <c:v>85.04</c:v>
                </c:pt>
                <c:pt idx="1051">
                  <c:v>85.05</c:v>
                </c:pt>
                <c:pt idx="1052">
                  <c:v>86.52</c:v>
                </c:pt>
                <c:pt idx="1053">
                  <c:v>87.44</c:v>
                </c:pt>
                <c:pt idx="1054">
                  <c:v>87.86</c:v>
                </c:pt>
                <c:pt idx="1055">
                  <c:v>90.35</c:v>
                </c:pt>
                <c:pt idx="1056">
                  <c:v>102.65</c:v>
                </c:pt>
                <c:pt idx="1057">
                  <c:v>99.75</c:v>
                </c:pt>
                <c:pt idx="1058">
                  <c:v>99.54</c:v>
                </c:pt>
                <c:pt idx="1059">
                  <c:v>98.73</c:v>
                </c:pt>
                <c:pt idx="1060">
                  <c:v>93.25</c:v>
                </c:pt>
                <c:pt idx="1061">
                  <c:v>91.3</c:v>
                </c:pt>
                <c:pt idx="1062">
                  <c:v>91.96</c:v>
                </c:pt>
                <c:pt idx="1063">
                  <c:v>89.34</c:v>
                </c:pt>
                <c:pt idx="1064">
                  <c:v>87.66</c:v>
                </c:pt>
                <c:pt idx="1065">
                  <c:v>85.7</c:v>
                </c:pt>
                <c:pt idx="1066">
                  <c:v>82.64</c:v>
                </c:pt>
                <c:pt idx="1067">
                  <c:v>82.95</c:v>
                </c:pt>
                <c:pt idx="1068">
                  <c:v>79</c:v>
                </c:pt>
                <c:pt idx="1069">
                  <c:v>82.52</c:v>
                </c:pt>
                <c:pt idx="1070">
                  <c:v>81.489999999999995</c:v>
                </c:pt>
                <c:pt idx="1071">
                  <c:v>78.28</c:v>
                </c:pt>
                <c:pt idx="1072">
                  <c:v>79.05</c:v>
                </c:pt>
                <c:pt idx="1073">
                  <c:v>76.64</c:v>
                </c:pt>
                <c:pt idx="1074">
                  <c:v>78.98</c:v>
                </c:pt>
                <c:pt idx="1075">
                  <c:v>89.88</c:v>
                </c:pt>
                <c:pt idx="1076">
                  <c:v>87.97</c:v>
                </c:pt>
                <c:pt idx="1077">
                  <c:v>87.6</c:v>
                </c:pt>
                <c:pt idx="1078">
                  <c:v>87.33</c:v>
                </c:pt>
                <c:pt idx="1079">
                  <c:v>87.95</c:v>
                </c:pt>
                <c:pt idx="1080">
                  <c:v>88.4</c:v>
                </c:pt>
                <c:pt idx="1081">
                  <c:v>87.63</c:v>
                </c:pt>
                <c:pt idx="1082">
                  <c:v>85.45</c:v>
                </c:pt>
                <c:pt idx="1083">
                  <c:v>81.5</c:v>
                </c:pt>
                <c:pt idx="1084">
                  <c:v>80.97</c:v>
                </c:pt>
                <c:pt idx="1085">
                  <c:v>81.86</c:v>
                </c:pt>
                <c:pt idx="1086">
                  <c:v>83.02</c:v>
                </c:pt>
                <c:pt idx="1087">
                  <c:v>80</c:v>
                </c:pt>
                <c:pt idx="1088">
                  <c:v>82.62</c:v>
                </c:pt>
                <c:pt idx="1089">
                  <c:v>83.62</c:v>
                </c:pt>
                <c:pt idx="1090">
                  <c:v>83.35</c:v>
                </c:pt>
                <c:pt idx="1091">
                  <c:v>86.49</c:v>
                </c:pt>
                <c:pt idx="1092">
                  <c:v>84.08</c:v>
                </c:pt>
                <c:pt idx="1093">
                  <c:v>86.22</c:v>
                </c:pt>
                <c:pt idx="1094">
                  <c:v>82.62</c:v>
                </c:pt>
                <c:pt idx="1095">
                  <c:v>81.05</c:v>
                </c:pt>
                <c:pt idx="1096">
                  <c:v>80.7</c:v>
                </c:pt>
                <c:pt idx="1097">
                  <c:v>81.41</c:v>
                </c:pt>
                <c:pt idx="1098">
                  <c:v>84.75</c:v>
                </c:pt>
                <c:pt idx="1099">
                  <c:v>84.77</c:v>
                </c:pt>
                <c:pt idx="1100">
                  <c:v>88.72</c:v>
                </c:pt>
                <c:pt idx="1101">
                  <c:v>87.14</c:v>
                </c:pt>
                <c:pt idx="1102">
                  <c:v>89.82</c:v>
                </c:pt>
                <c:pt idx="1103">
                  <c:v>91.75</c:v>
                </c:pt>
                <c:pt idx="1104">
                  <c:v>91.53</c:v>
                </c:pt>
                <c:pt idx="1105">
                  <c:v>85.48</c:v>
                </c:pt>
                <c:pt idx="1106">
                  <c:v>83.59</c:v>
                </c:pt>
                <c:pt idx="1107">
                  <c:v>81.97</c:v>
                </c:pt>
                <c:pt idx="1108">
                  <c:v>82.02</c:v>
                </c:pt>
                <c:pt idx="1109">
                  <c:v>82.79</c:v>
                </c:pt>
                <c:pt idx="1110">
                  <c:v>80.42</c:v>
                </c:pt>
                <c:pt idx="1111">
                  <c:v>78.47</c:v>
                </c:pt>
                <c:pt idx="1112">
                  <c:v>77.459999999999994</c:v>
                </c:pt>
                <c:pt idx="1113">
                  <c:v>79.72</c:v>
                </c:pt>
                <c:pt idx="1114">
                  <c:v>80.180000000000007</c:v>
                </c:pt>
                <c:pt idx="1115">
                  <c:v>76.569999999999993</c:v>
                </c:pt>
                <c:pt idx="1116">
                  <c:v>70.78</c:v>
                </c:pt>
                <c:pt idx="1117">
                  <c:v>74.02</c:v>
                </c:pt>
                <c:pt idx="1118">
                  <c:v>73.67</c:v>
                </c:pt>
                <c:pt idx="1119">
                  <c:v>76.489999999999995</c:v>
                </c:pt>
                <c:pt idx="1120">
                  <c:v>83.07</c:v>
                </c:pt>
                <c:pt idx="1121">
                  <c:v>83.07</c:v>
                </c:pt>
                <c:pt idx="1122">
                  <c:v>88.18</c:v>
                </c:pt>
                <c:pt idx="1123">
                  <c:v>88.13</c:v>
                </c:pt>
                <c:pt idx="1124">
                  <c:v>93.65</c:v>
                </c:pt>
                <c:pt idx="1125">
                  <c:v>89.25</c:v>
                </c:pt>
                <c:pt idx="1126">
                  <c:v>83.92</c:v>
                </c:pt>
                <c:pt idx="1127">
                  <c:v>84.73</c:v>
                </c:pt>
                <c:pt idx="1128">
                  <c:v>78.39</c:v>
                </c:pt>
                <c:pt idx="1129">
                  <c:v>87.44</c:v>
                </c:pt>
                <c:pt idx="1130">
                  <c:v>81.55</c:v>
                </c:pt>
                <c:pt idx="1131">
                  <c:v>90.55</c:v>
                </c:pt>
                <c:pt idx="1132">
                  <c:v>89.01</c:v>
                </c:pt>
                <c:pt idx="1133">
                  <c:v>95.73</c:v>
                </c:pt>
                <c:pt idx="1134">
                  <c:v>92.03</c:v>
                </c:pt>
                <c:pt idx="1135">
                  <c:v>87.74</c:v>
                </c:pt>
                <c:pt idx="1136">
                  <c:v>84.28</c:v>
                </c:pt>
                <c:pt idx="1137">
                  <c:v>82.6</c:v>
                </c:pt>
                <c:pt idx="1138">
                  <c:v>82.66</c:v>
                </c:pt>
                <c:pt idx="1139">
                  <c:v>81.8</c:v>
                </c:pt>
                <c:pt idx="1140">
                  <c:v>79.8</c:v>
                </c:pt>
                <c:pt idx="1141">
                  <c:v>79.36</c:v>
                </c:pt>
                <c:pt idx="1142">
                  <c:v>81.67</c:v>
                </c:pt>
                <c:pt idx="1143">
                  <c:v>81.67</c:v>
                </c:pt>
                <c:pt idx="1144">
                  <c:v>83.42</c:v>
                </c:pt>
                <c:pt idx="1145">
                  <c:v>81.319999999999993</c:v>
                </c:pt>
                <c:pt idx="1146">
                  <c:v>86.62</c:v>
                </c:pt>
                <c:pt idx="1147">
                  <c:v>84.09</c:v>
                </c:pt>
                <c:pt idx="1148">
                  <c:v>84.38</c:v>
                </c:pt>
                <c:pt idx="1149">
                  <c:v>86.03</c:v>
                </c:pt>
                <c:pt idx="1150">
                  <c:v>86.74</c:v>
                </c:pt>
                <c:pt idx="1151">
                  <c:v>87.44</c:v>
                </c:pt>
                <c:pt idx="1152">
                  <c:v>86.34</c:v>
                </c:pt>
                <c:pt idx="1153">
                  <c:v>85.71</c:v>
                </c:pt>
                <c:pt idx="1154">
                  <c:v>86.52</c:v>
                </c:pt>
                <c:pt idx="1155">
                  <c:v>86.36</c:v>
                </c:pt>
                <c:pt idx="1156">
                  <c:v>84.8</c:v>
                </c:pt>
                <c:pt idx="1157">
                  <c:v>85.25</c:v>
                </c:pt>
                <c:pt idx="1158">
                  <c:v>84.7</c:v>
                </c:pt>
                <c:pt idx="1159">
                  <c:v>84.6</c:v>
                </c:pt>
                <c:pt idx="1160">
                  <c:v>83.73</c:v>
                </c:pt>
                <c:pt idx="1161">
                  <c:v>81.650000000000006</c:v>
                </c:pt>
                <c:pt idx="1162">
                  <c:v>79.819999999999993</c:v>
                </c:pt>
                <c:pt idx="1163">
                  <c:v>77.94</c:v>
                </c:pt>
                <c:pt idx="1164">
                  <c:v>78.64</c:v>
                </c:pt>
                <c:pt idx="1165">
                  <c:v>75.94</c:v>
                </c:pt>
                <c:pt idx="1166">
                  <c:v>79.77</c:v>
                </c:pt>
                <c:pt idx="1167">
                  <c:v>83.7</c:v>
                </c:pt>
                <c:pt idx="1168">
                  <c:v>82.69</c:v>
                </c:pt>
                <c:pt idx="1169">
                  <c:v>85.41</c:v>
                </c:pt>
                <c:pt idx="1170">
                  <c:v>82.97</c:v>
                </c:pt>
                <c:pt idx="1171">
                  <c:v>82.67</c:v>
                </c:pt>
                <c:pt idx="1172">
                  <c:v>79.430000000000007</c:v>
                </c:pt>
                <c:pt idx="1173">
                  <c:v>77.040000000000006</c:v>
                </c:pt>
                <c:pt idx="1174">
                  <c:v>91.52</c:v>
                </c:pt>
                <c:pt idx="1175">
                  <c:v>86.08</c:v>
                </c:pt>
                <c:pt idx="1176">
                  <c:v>84.48</c:v>
                </c:pt>
                <c:pt idx="1177">
                  <c:v>83.16</c:v>
                </c:pt>
                <c:pt idx="1178">
                  <c:v>81.75</c:v>
                </c:pt>
                <c:pt idx="1179">
                  <c:v>81.11</c:v>
                </c:pt>
                <c:pt idx="1180">
                  <c:v>80.540000000000006</c:v>
                </c:pt>
                <c:pt idx="1181">
                  <c:v>78.930000000000007</c:v>
                </c:pt>
                <c:pt idx="1182">
                  <c:v>82.11</c:v>
                </c:pt>
                <c:pt idx="1183">
                  <c:v>83.73</c:v>
                </c:pt>
                <c:pt idx="1184">
                  <c:v>84.5</c:v>
                </c:pt>
                <c:pt idx="1185">
                  <c:v>82.67</c:v>
                </c:pt>
                <c:pt idx="1186">
                  <c:v>84.38</c:v>
                </c:pt>
                <c:pt idx="1187">
                  <c:v>83.05</c:v>
                </c:pt>
                <c:pt idx="1188">
                  <c:v>83.03</c:v>
                </c:pt>
                <c:pt idx="1189">
                  <c:v>85.47</c:v>
                </c:pt>
                <c:pt idx="1190">
                  <c:v>99.18</c:v>
                </c:pt>
                <c:pt idx="1191">
                  <c:v>99.04</c:v>
                </c:pt>
                <c:pt idx="1192">
                  <c:v>94.07</c:v>
                </c:pt>
                <c:pt idx="1193">
                  <c:v>86.17</c:v>
                </c:pt>
                <c:pt idx="1194">
                  <c:v>81.78</c:v>
                </c:pt>
                <c:pt idx="1195">
                  <c:v>89.28</c:v>
                </c:pt>
                <c:pt idx="1196">
                  <c:v>87.55</c:v>
                </c:pt>
                <c:pt idx="1197">
                  <c:v>82.36</c:v>
                </c:pt>
                <c:pt idx="1198">
                  <c:v>81.48</c:v>
                </c:pt>
                <c:pt idx="1199">
                  <c:v>84.32</c:v>
                </c:pt>
                <c:pt idx="1200">
                  <c:v>80.84</c:v>
                </c:pt>
                <c:pt idx="1201">
                  <c:v>84.89</c:v>
                </c:pt>
                <c:pt idx="1202">
                  <c:v>88.16</c:v>
                </c:pt>
                <c:pt idx="1203">
                  <c:v>83.21</c:v>
                </c:pt>
                <c:pt idx="1204">
                  <c:v>83.89</c:v>
                </c:pt>
                <c:pt idx="1205">
                  <c:v>89.68</c:v>
                </c:pt>
                <c:pt idx="1206">
                  <c:v>112.39</c:v>
                </c:pt>
                <c:pt idx="1207">
                  <c:v>101.45</c:v>
                </c:pt>
                <c:pt idx="1208">
                  <c:v>96.28</c:v>
                </c:pt>
                <c:pt idx="1209">
                  <c:v>89.17</c:v>
                </c:pt>
                <c:pt idx="1210">
                  <c:v>87.39</c:v>
                </c:pt>
                <c:pt idx="1211">
                  <c:v>84.77</c:v>
                </c:pt>
                <c:pt idx="1212">
                  <c:v>84.17</c:v>
                </c:pt>
                <c:pt idx="1213">
                  <c:v>84.53</c:v>
                </c:pt>
                <c:pt idx="1214">
                  <c:v>89.94</c:v>
                </c:pt>
                <c:pt idx="1215">
                  <c:v>84.96</c:v>
                </c:pt>
                <c:pt idx="1216">
                  <c:v>82.75</c:v>
                </c:pt>
                <c:pt idx="1217">
                  <c:v>82.51</c:v>
                </c:pt>
                <c:pt idx="1218">
                  <c:v>81.98</c:v>
                </c:pt>
                <c:pt idx="1219">
                  <c:v>81.84</c:v>
                </c:pt>
                <c:pt idx="1220">
                  <c:v>81.44</c:v>
                </c:pt>
                <c:pt idx="1221">
                  <c:v>83.22</c:v>
                </c:pt>
                <c:pt idx="1222">
                  <c:v>82.39</c:v>
                </c:pt>
                <c:pt idx="1223">
                  <c:v>83.43</c:v>
                </c:pt>
                <c:pt idx="1224">
                  <c:v>84.16</c:v>
                </c:pt>
                <c:pt idx="1225">
                  <c:v>85.36</c:v>
                </c:pt>
                <c:pt idx="1226">
                  <c:v>86.04</c:v>
                </c:pt>
                <c:pt idx="1227">
                  <c:v>86.07</c:v>
                </c:pt>
                <c:pt idx="1228">
                  <c:v>85.72</c:v>
                </c:pt>
                <c:pt idx="1229">
                  <c:v>89.11</c:v>
                </c:pt>
                <c:pt idx="1230">
                  <c:v>85.73</c:v>
                </c:pt>
                <c:pt idx="1231">
                  <c:v>86.21</c:v>
                </c:pt>
                <c:pt idx="1232">
                  <c:v>87.71</c:v>
                </c:pt>
                <c:pt idx="1233">
                  <c:v>87.68</c:v>
                </c:pt>
                <c:pt idx="1234">
                  <c:v>85.72</c:v>
                </c:pt>
                <c:pt idx="1235">
                  <c:v>83.21</c:v>
                </c:pt>
                <c:pt idx="1236">
                  <c:v>82.89</c:v>
                </c:pt>
                <c:pt idx="1237">
                  <c:v>83.98</c:v>
                </c:pt>
                <c:pt idx="1238">
                  <c:v>88.5</c:v>
                </c:pt>
                <c:pt idx="1239">
                  <c:v>90.62</c:v>
                </c:pt>
                <c:pt idx="1240">
                  <c:v>91.39</c:v>
                </c:pt>
                <c:pt idx="1241">
                  <c:v>95.08</c:v>
                </c:pt>
                <c:pt idx="1242">
                  <c:v>94.43</c:v>
                </c:pt>
                <c:pt idx="1243">
                  <c:v>90.86</c:v>
                </c:pt>
                <c:pt idx="1244">
                  <c:v>87.56</c:v>
                </c:pt>
                <c:pt idx="1245">
                  <c:v>96.25</c:v>
                </c:pt>
                <c:pt idx="1246">
                  <c:v>93.57</c:v>
                </c:pt>
                <c:pt idx="1247">
                  <c:v>93.86</c:v>
                </c:pt>
                <c:pt idx="1248">
                  <c:v>94.44</c:v>
                </c:pt>
                <c:pt idx="1249">
                  <c:v>93.64</c:v>
                </c:pt>
                <c:pt idx="1250">
                  <c:v>90.7</c:v>
                </c:pt>
                <c:pt idx="1251">
                  <c:v>87.53</c:v>
                </c:pt>
                <c:pt idx="1252">
                  <c:v>90.23</c:v>
                </c:pt>
                <c:pt idx="1253">
                  <c:v>92.08</c:v>
                </c:pt>
                <c:pt idx="1254">
                  <c:v>88.47</c:v>
                </c:pt>
                <c:pt idx="1255">
                  <c:v>85.29</c:v>
                </c:pt>
                <c:pt idx="1256">
                  <c:v>81.48</c:v>
                </c:pt>
                <c:pt idx="1257">
                  <c:v>81.459999999999994</c:v>
                </c:pt>
                <c:pt idx="1258">
                  <c:v>80.92</c:v>
                </c:pt>
                <c:pt idx="1259">
                  <c:v>87.59</c:v>
                </c:pt>
                <c:pt idx="1260">
                  <c:v>85.22</c:v>
                </c:pt>
                <c:pt idx="1261">
                  <c:v>85.54</c:v>
                </c:pt>
                <c:pt idx="1262">
                  <c:v>88.15</c:v>
                </c:pt>
                <c:pt idx="1263">
                  <c:v>83.72</c:v>
                </c:pt>
                <c:pt idx="1264">
                  <c:v>88.98</c:v>
                </c:pt>
                <c:pt idx="1265">
                  <c:v>85.65</c:v>
                </c:pt>
                <c:pt idx="1266">
                  <c:v>93.34</c:v>
                </c:pt>
                <c:pt idx="1267">
                  <c:v>98.35</c:v>
                </c:pt>
                <c:pt idx="1268">
                  <c:v>91.74</c:v>
                </c:pt>
                <c:pt idx="1269">
                  <c:v>105.07</c:v>
                </c:pt>
                <c:pt idx="1270">
                  <c:v>100.39</c:v>
                </c:pt>
                <c:pt idx="1271">
                  <c:v>95.31</c:v>
                </c:pt>
                <c:pt idx="1272">
                  <c:v>90.25</c:v>
                </c:pt>
                <c:pt idx="1273">
                  <c:v>90.55</c:v>
                </c:pt>
                <c:pt idx="1274">
                  <c:v>91.71</c:v>
                </c:pt>
                <c:pt idx="1275">
                  <c:v>93.09</c:v>
                </c:pt>
                <c:pt idx="1276">
                  <c:v>99.14</c:v>
                </c:pt>
                <c:pt idx="1277">
                  <c:v>94.29</c:v>
                </c:pt>
                <c:pt idx="1278">
                  <c:v>90.33</c:v>
                </c:pt>
                <c:pt idx="1279">
                  <c:v>85.9</c:v>
                </c:pt>
                <c:pt idx="1280">
                  <c:v>81.08</c:v>
                </c:pt>
                <c:pt idx="1281">
                  <c:v>78.64</c:v>
                </c:pt>
                <c:pt idx="1282">
                  <c:v>81.34</c:v>
                </c:pt>
                <c:pt idx="1283">
                  <c:v>82.69</c:v>
                </c:pt>
                <c:pt idx="1284">
                  <c:v>80.7</c:v>
                </c:pt>
                <c:pt idx="1285">
                  <c:v>80.819999999999993</c:v>
                </c:pt>
                <c:pt idx="1286">
                  <c:v>90.87</c:v>
                </c:pt>
                <c:pt idx="1287">
                  <c:v>88.39</c:v>
                </c:pt>
                <c:pt idx="1288">
                  <c:v>88.92</c:v>
                </c:pt>
                <c:pt idx="1289">
                  <c:v>95.72</c:v>
                </c:pt>
                <c:pt idx="1290">
                  <c:v>89.33</c:v>
                </c:pt>
                <c:pt idx="1291">
                  <c:v>97.81</c:v>
                </c:pt>
                <c:pt idx="1292">
                  <c:v>91.01</c:v>
                </c:pt>
                <c:pt idx="1293">
                  <c:v>86.06</c:v>
                </c:pt>
                <c:pt idx="1294">
                  <c:v>81.680000000000007</c:v>
                </c:pt>
                <c:pt idx="1295">
                  <c:v>82.45</c:v>
                </c:pt>
                <c:pt idx="1296">
                  <c:v>90.2</c:v>
                </c:pt>
                <c:pt idx="1297">
                  <c:v>93.35</c:v>
                </c:pt>
                <c:pt idx="1298">
                  <c:v>102.01</c:v>
                </c:pt>
                <c:pt idx="1299">
                  <c:v>105.62</c:v>
                </c:pt>
                <c:pt idx="1300">
                  <c:v>106.57</c:v>
                </c:pt>
                <c:pt idx="1301">
                  <c:v>95.89</c:v>
                </c:pt>
                <c:pt idx="1302">
                  <c:v>102.01</c:v>
                </c:pt>
                <c:pt idx="1303">
                  <c:v>98.58</c:v>
                </c:pt>
                <c:pt idx="1304">
                  <c:v>121.76</c:v>
                </c:pt>
                <c:pt idx="1305">
                  <c:v>118.61</c:v>
                </c:pt>
                <c:pt idx="1306">
                  <c:v>134.63</c:v>
                </c:pt>
                <c:pt idx="1307">
                  <c:v>112.8</c:v>
                </c:pt>
                <c:pt idx="1308">
                  <c:v>132.86000000000001</c:v>
                </c:pt>
                <c:pt idx="1309">
                  <c:v>128.76</c:v>
                </c:pt>
                <c:pt idx="1310">
                  <c:v>120.19</c:v>
                </c:pt>
                <c:pt idx="1311">
                  <c:v>109</c:v>
                </c:pt>
                <c:pt idx="1312">
                  <c:v>104.66</c:v>
                </c:pt>
                <c:pt idx="1313">
                  <c:v>104.62</c:v>
                </c:pt>
                <c:pt idx="1314">
                  <c:v>106.66</c:v>
                </c:pt>
                <c:pt idx="1315">
                  <c:v>111.58</c:v>
                </c:pt>
                <c:pt idx="1316">
                  <c:v>111.25</c:v>
                </c:pt>
                <c:pt idx="1317">
                  <c:v>103.43</c:v>
                </c:pt>
                <c:pt idx="1318">
                  <c:v>104.54</c:v>
                </c:pt>
                <c:pt idx="1319">
                  <c:v>112.4</c:v>
                </c:pt>
                <c:pt idx="1320">
                  <c:v>104.72</c:v>
                </c:pt>
                <c:pt idx="1321">
                  <c:v>96.51</c:v>
                </c:pt>
                <c:pt idx="1322">
                  <c:v>96.16</c:v>
                </c:pt>
                <c:pt idx="1323">
                  <c:v>94.16</c:v>
                </c:pt>
                <c:pt idx="1324">
                  <c:v>92.31</c:v>
                </c:pt>
                <c:pt idx="1325">
                  <c:v>91</c:v>
                </c:pt>
                <c:pt idx="1326">
                  <c:v>97.01</c:v>
                </c:pt>
                <c:pt idx="1327">
                  <c:v>93.3</c:v>
                </c:pt>
                <c:pt idx="1328">
                  <c:v>93.45</c:v>
                </c:pt>
                <c:pt idx="1329">
                  <c:v>99.07</c:v>
                </c:pt>
                <c:pt idx="1330">
                  <c:v>97.07</c:v>
                </c:pt>
                <c:pt idx="1331">
                  <c:v>96.14</c:v>
                </c:pt>
                <c:pt idx="1332">
                  <c:v>100.22</c:v>
                </c:pt>
                <c:pt idx="1333">
                  <c:v>96.69</c:v>
                </c:pt>
                <c:pt idx="1334">
                  <c:v>93.67</c:v>
                </c:pt>
                <c:pt idx="1335">
                  <c:v>95.95</c:v>
                </c:pt>
                <c:pt idx="1336">
                  <c:v>92.9</c:v>
                </c:pt>
                <c:pt idx="1337">
                  <c:v>98.58</c:v>
                </c:pt>
                <c:pt idx="1338">
                  <c:v>103.91</c:v>
                </c:pt>
                <c:pt idx="1339">
                  <c:v>104.77</c:v>
                </c:pt>
                <c:pt idx="1340">
                  <c:v>102.89</c:v>
                </c:pt>
                <c:pt idx="1341">
                  <c:v>100.31</c:v>
                </c:pt>
                <c:pt idx="1342">
                  <c:v>104.3</c:v>
                </c:pt>
                <c:pt idx="1343">
                  <c:v>101.05</c:v>
                </c:pt>
                <c:pt idx="1344">
                  <c:v>101.08</c:v>
                </c:pt>
                <c:pt idx="1345">
                  <c:v>103.89</c:v>
                </c:pt>
                <c:pt idx="1346">
                  <c:v>99.31</c:v>
                </c:pt>
                <c:pt idx="1347">
                  <c:v>94.66</c:v>
                </c:pt>
                <c:pt idx="1348">
                  <c:v>93.52</c:v>
                </c:pt>
                <c:pt idx="1349">
                  <c:v>92.57</c:v>
                </c:pt>
                <c:pt idx="1350">
                  <c:v>89.39</c:v>
                </c:pt>
                <c:pt idx="1351">
                  <c:v>90.98</c:v>
                </c:pt>
                <c:pt idx="1352">
                  <c:v>91.34</c:v>
                </c:pt>
                <c:pt idx="1353">
                  <c:v>95.1</c:v>
                </c:pt>
                <c:pt idx="1354">
                  <c:v>94.69</c:v>
                </c:pt>
                <c:pt idx="1355">
                  <c:v>103.55</c:v>
                </c:pt>
                <c:pt idx="1356">
                  <c:v>100.21</c:v>
                </c:pt>
                <c:pt idx="1357">
                  <c:v>103.29</c:v>
                </c:pt>
                <c:pt idx="1358">
                  <c:v>102.97</c:v>
                </c:pt>
                <c:pt idx="1359">
                  <c:v>98.05</c:v>
                </c:pt>
                <c:pt idx="1360">
                  <c:v>97.13</c:v>
                </c:pt>
                <c:pt idx="1361">
                  <c:v>97.75</c:v>
                </c:pt>
                <c:pt idx="1362">
                  <c:v>97.74</c:v>
                </c:pt>
                <c:pt idx="1363">
                  <c:v>94.44</c:v>
                </c:pt>
                <c:pt idx="1364">
                  <c:v>94.19</c:v>
                </c:pt>
                <c:pt idx="1365">
                  <c:v>104.84</c:v>
                </c:pt>
                <c:pt idx="1366">
                  <c:v>113.15</c:v>
                </c:pt>
                <c:pt idx="1367">
                  <c:v>107.4</c:v>
                </c:pt>
                <c:pt idx="1368">
                  <c:v>104.28</c:v>
                </c:pt>
                <c:pt idx="1369">
                  <c:v>103.34</c:v>
                </c:pt>
                <c:pt idx="1370">
                  <c:v>103.35</c:v>
                </c:pt>
                <c:pt idx="1371">
                  <c:v>98.05</c:v>
                </c:pt>
                <c:pt idx="1372">
                  <c:v>122.73</c:v>
                </c:pt>
                <c:pt idx="1373">
                  <c:v>113.54</c:v>
                </c:pt>
                <c:pt idx="1374">
                  <c:v>112.1</c:v>
                </c:pt>
                <c:pt idx="1375">
                  <c:v>112.35</c:v>
                </c:pt>
                <c:pt idx="1376">
                  <c:v>107.55</c:v>
                </c:pt>
                <c:pt idx="1377">
                  <c:v>111.18</c:v>
                </c:pt>
                <c:pt idx="1378">
                  <c:v>111.86</c:v>
                </c:pt>
                <c:pt idx="1379">
                  <c:v>101.92</c:v>
                </c:pt>
                <c:pt idx="1380">
                  <c:v>99.6</c:v>
                </c:pt>
                <c:pt idx="1381">
                  <c:v>98.53</c:v>
                </c:pt>
                <c:pt idx="1382">
                  <c:v>101.46</c:v>
                </c:pt>
                <c:pt idx="1383">
                  <c:v>98.98</c:v>
                </c:pt>
                <c:pt idx="1384">
                  <c:v>96.23</c:v>
                </c:pt>
                <c:pt idx="1385">
                  <c:v>95.47</c:v>
                </c:pt>
                <c:pt idx="1386">
                  <c:v>92.22</c:v>
                </c:pt>
                <c:pt idx="1387">
                  <c:v>90.88</c:v>
                </c:pt>
                <c:pt idx="1388">
                  <c:v>92.46</c:v>
                </c:pt>
                <c:pt idx="1389">
                  <c:v>92.97</c:v>
                </c:pt>
                <c:pt idx="1390">
                  <c:v>92.21</c:v>
                </c:pt>
                <c:pt idx="1391">
                  <c:v>92.84</c:v>
                </c:pt>
                <c:pt idx="1392">
                  <c:v>94.97</c:v>
                </c:pt>
                <c:pt idx="1393">
                  <c:v>90.92</c:v>
                </c:pt>
                <c:pt idx="1394">
                  <c:v>93.21</c:v>
                </c:pt>
                <c:pt idx="1395">
                  <c:v>94.55</c:v>
                </c:pt>
                <c:pt idx="1396">
                  <c:v>99.63</c:v>
                </c:pt>
                <c:pt idx="1397">
                  <c:v>97.71</c:v>
                </c:pt>
                <c:pt idx="1398">
                  <c:v>94.28</c:v>
                </c:pt>
                <c:pt idx="1399">
                  <c:v>90.27</c:v>
                </c:pt>
                <c:pt idx="1400">
                  <c:v>88.64</c:v>
                </c:pt>
                <c:pt idx="1401">
                  <c:v>85.54</c:v>
                </c:pt>
                <c:pt idx="1402">
                  <c:v>86.18</c:v>
                </c:pt>
                <c:pt idx="1403">
                  <c:v>86.54</c:v>
                </c:pt>
                <c:pt idx="1404">
                  <c:v>88.13</c:v>
                </c:pt>
                <c:pt idx="1405">
                  <c:v>94.08</c:v>
                </c:pt>
                <c:pt idx="1406">
                  <c:v>91.8</c:v>
                </c:pt>
                <c:pt idx="1407">
                  <c:v>91.7</c:v>
                </c:pt>
                <c:pt idx="1408">
                  <c:v>91.39</c:v>
                </c:pt>
                <c:pt idx="1409">
                  <c:v>88.89</c:v>
                </c:pt>
                <c:pt idx="1410">
                  <c:v>87.69</c:v>
                </c:pt>
                <c:pt idx="1411">
                  <c:v>86.95</c:v>
                </c:pt>
                <c:pt idx="1412">
                  <c:v>87.8</c:v>
                </c:pt>
                <c:pt idx="1413">
                  <c:v>88.82</c:v>
                </c:pt>
                <c:pt idx="1414">
                  <c:v>93.17</c:v>
                </c:pt>
                <c:pt idx="1415">
                  <c:v>90.51</c:v>
                </c:pt>
                <c:pt idx="1416">
                  <c:v>93.55</c:v>
                </c:pt>
                <c:pt idx="1417">
                  <c:v>93.66</c:v>
                </c:pt>
                <c:pt idx="1418">
                  <c:v>90.09</c:v>
                </c:pt>
                <c:pt idx="1419">
                  <c:v>88.73</c:v>
                </c:pt>
                <c:pt idx="1420">
                  <c:v>89.24</c:v>
                </c:pt>
                <c:pt idx="1421">
                  <c:v>89.59</c:v>
                </c:pt>
                <c:pt idx="1422">
                  <c:v>89.01</c:v>
                </c:pt>
                <c:pt idx="1423">
                  <c:v>86.01</c:v>
                </c:pt>
                <c:pt idx="1424">
                  <c:v>88.92</c:v>
                </c:pt>
                <c:pt idx="1425">
                  <c:v>87.44</c:v>
                </c:pt>
                <c:pt idx="1426">
                  <c:v>89.86</c:v>
                </c:pt>
                <c:pt idx="1427">
                  <c:v>88.51</c:v>
                </c:pt>
                <c:pt idx="1428">
                  <c:v>85.78</c:v>
                </c:pt>
                <c:pt idx="1429">
                  <c:v>84.1</c:v>
                </c:pt>
                <c:pt idx="1430">
                  <c:v>84.04</c:v>
                </c:pt>
                <c:pt idx="1431">
                  <c:v>85.38</c:v>
                </c:pt>
                <c:pt idx="1432">
                  <c:v>83.79</c:v>
                </c:pt>
                <c:pt idx="1433">
                  <c:v>97.01</c:v>
                </c:pt>
                <c:pt idx="1434">
                  <c:v>100.76</c:v>
                </c:pt>
                <c:pt idx="1435">
                  <c:v>104.15</c:v>
                </c:pt>
                <c:pt idx="1436">
                  <c:v>102.45</c:v>
                </c:pt>
                <c:pt idx="1437">
                  <c:v>107.82</c:v>
                </c:pt>
                <c:pt idx="1438">
                  <c:v>114.65</c:v>
                </c:pt>
                <c:pt idx="1439">
                  <c:v>110.41</c:v>
                </c:pt>
                <c:pt idx="1440">
                  <c:v>108.56</c:v>
                </c:pt>
                <c:pt idx="1441">
                  <c:v>107.71</c:v>
                </c:pt>
                <c:pt idx="1442">
                  <c:v>100.81</c:v>
                </c:pt>
                <c:pt idx="1443">
                  <c:v>94.44</c:v>
                </c:pt>
                <c:pt idx="1444">
                  <c:v>99.43</c:v>
                </c:pt>
                <c:pt idx="1445">
                  <c:v>101.68</c:v>
                </c:pt>
                <c:pt idx="1446">
                  <c:v>99.13</c:v>
                </c:pt>
                <c:pt idx="1447">
                  <c:v>101.6</c:v>
                </c:pt>
                <c:pt idx="1448">
                  <c:v>97.43</c:v>
                </c:pt>
                <c:pt idx="1449">
                  <c:v>96.94</c:v>
                </c:pt>
                <c:pt idx="1450">
                  <c:v>98.18</c:v>
                </c:pt>
                <c:pt idx="1451">
                  <c:v>105.11</c:v>
                </c:pt>
                <c:pt idx="1452">
                  <c:v>100.46</c:v>
                </c:pt>
                <c:pt idx="1453">
                  <c:v>97.19</c:v>
                </c:pt>
                <c:pt idx="1454">
                  <c:v>97.98</c:v>
                </c:pt>
                <c:pt idx="1455">
                  <c:v>98.61</c:v>
                </c:pt>
                <c:pt idx="1456">
                  <c:v>98.47</c:v>
                </c:pt>
                <c:pt idx="1457">
                  <c:v>106.63</c:v>
                </c:pt>
                <c:pt idx="1458">
                  <c:v>108.42</c:v>
                </c:pt>
                <c:pt idx="1459">
                  <c:v>105.78</c:v>
                </c:pt>
                <c:pt idx="1460">
                  <c:v>106.49</c:v>
                </c:pt>
                <c:pt idx="1461">
                  <c:v>109.38</c:v>
                </c:pt>
                <c:pt idx="1462">
                  <c:v>104.65</c:v>
                </c:pt>
                <c:pt idx="1463">
                  <c:v>102.53</c:v>
                </c:pt>
                <c:pt idx="1464">
                  <c:v>98.6</c:v>
                </c:pt>
                <c:pt idx="1465">
                  <c:v>96.08</c:v>
                </c:pt>
                <c:pt idx="1466">
                  <c:v>101.15</c:v>
                </c:pt>
                <c:pt idx="1467">
                  <c:v>102.74</c:v>
                </c:pt>
                <c:pt idx="1468">
                  <c:v>101.94</c:v>
                </c:pt>
                <c:pt idx="1469">
                  <c:v>100.28</c:v>
                </c:pt>
                <c:pt idx="1470">
                  <c:v>100.38</c:v>
                </c:pt>
                <c:pt idx="1471">
                  <c:v>98.37</c:v>
                </c:pt>
                <c:pt idx="1472">
                  <c:v>99.73</c:v>
                </c:pt>
                <c:pt idx="1473">
                  <c:v>99.47</c:v>
                </c:pt>
                <c:pt idx="1474">
                  <c:v>104.59</c:v>
                </c:pt>
                <c:pt idx="1475">
                  <c:v>109.13</c:v>
                </c:pt>
                <c:pt idx="1476">
                  <c:v>111.19</c:v>
                </c:pt>
                <c:pt idx="1477">
                  <c:v>104.27</c:v>
                </c:pt>
                <c:pt idx="1478">
                  <c:v>110.76</c:v>
                </c:pt>
                <c:pt idx="1479">
                  <c:v>110.97</c:v>
                </c:pt>
                <c:pt idx="1480">
                  <c:v>107.01</c:v>
                </c:pt>
                <c:pt idx="1481">
                  <c:v>106.06</c:v>
                </c:pt>
                <c:pt idx="1482">
                  <c:v>103.96</c:v>
                </c:pt>
                <c:pt idx="1483">
                  <c:v>101.08</c:v>
                </c:pt>
                <c:pt idx="1484">
                  <c:v>104.01</c:v>
                </c:pt>
                <c:pt idx="1485">
                  <c:v>99.84</c:v>
                </c:pt>
                <c:pt idx="1486">
                  <c:v>93.28</c:v>
                </c:pt>
                <c:pt idx="1487">
                  <c:v>89.65</c:v>
                </c:pt>
                <c:pt idx="1488">
                  <c:v>88.62</c:v>
                </c:pt>
                <c:pt idx="1489">
                  <c:v>89.32</c:v>
                </c:pt>
                <c:pt idx="1490">
                  <c:v>87.06</c:v>
                </c:pt>
                <c:pt idx="1491">
                  <c:v>86.29</c:v>
                </c:pt>
                <c:pt idx="1492">
                  <c:v>88.35</c:v>
                </c:pt>
                <c:pt idx="1493">
                  <c:v>91.31</c:v>
                </c:pt>
                <c:pt idx="1494">
                  <c:v>90.91</c:v>
                </c:pt>
                <c:pt idx="1495">
                  <c:v>91.33</c:v>
                </c:pt>
                <c:pt idx="1496">
                  <c:v>102.07</c:v>
                </c:pt>
                <c:pt idx="1497">
                  <c:v>98.65</c:v>
                </c:pt>
                <c:pt idx="1498">
                  <c:v>100.12</c:v>
                </c:pt>
                <c:pt idx="1499">
                  <c:v>105.85</c:v>
                </c:pt>
                <c:pt idx="1500">
                  <c:v>109.61</c:v>
                </c:pt>
                <c:pt idx="1501">
                  <c:v>109.22</c:v>
                </c:pt>
                <c:pt idx="1502">
                  <c:v>112.84</c:v>
                </c:pt>
                <c:pt idx="1503">
                  <c:v>117.44</c:v>
                </c:pt>
                <c:pt idx="1504">
                  <c:v>108.5</c:v>
                </c:pt>
                <c:pt idx="1505">
                  <c:v>110.48</c:v>
                </c:pt>
                <c:pt idx="1506">
                  <c:v>107.48</c:v>
                </c:pt>
                <c:pt idx="1507">
                  <c:v>104.52</c:v>
                </c:pt>
                <c:pt idx="1508">
                  <c:v>103.1</c:v>
                </c:pt>
                <c:pt idx="1509">
                  <c:v>100.98</c:v>
                </c:pt>
                <c:pt idx="1510">
                  <c:v>109.73</c:v>
                </c:pt>
                <c:pt idx="1511">
                  <c:v>108.75</c:v>
                </c:pt>
                <c:pt idx="1512">
                  <c:v>111.41</c:v>
                </c:pt>
                <c:pt idx="1513">
                  <c:v>107.04</c:v>
                </c:pt>
                <c:pt idx="1514">
                  <c:v>102.78</c:v>
                </c:pt>
                <c:pt idx="1515">
                  <c:v>97.71</c:v>
                </c:pt>
                <c:pt idx="1516">
                  <c:v>98.36</c:v>
                </c:pt>
                <c:pt idx="1517">
                  <c:v>96.6</c:v>
                </c:pt>
                <c:pt idx="1518">
                  <c:v>105.51</c:v>
                </c:pt>
                <c:pt idx="1519">
                  <c:v>103.22</c:v>
                </c:pt>
                <c:pt idx="1520">
                  <c:v>110.6</c:v>
                </c:pt>
                <c:pt idx="1521">
                  <c:v>107.78</c:v>
                </c:pt>
                <c:pt idx="1522">
                  <c:v>108.23</c:v>
                </c:pt>
                <c:pt idx="1523">
                  <c:v>99.3</c:v>
                </c:pt>
                <c:pt idx="1524">
                  <c:v>98.13</c:v>
                </c:pt>
                <c:pt idx="1525">
                  <c:v>96.41</c:v>
                </c:pt>
                <c:pt idx="1526">
                  <c:v>105.47</c:v>
                </c:pt>
                <c:pt idx="1527">
                  <c:v>104.13</c:v>
                </c:pt>
                <c:pt idx="1528">
                  <c:v>104.46</c:v>
                </c:pt>
                <c:pt idx="1529">
                  <c:v>100.66</c:v>
                </c:pt>
                <c:pt idx="1530">
                  <c:v>98.11</c:v>
                </c:pt>
                <c:pt idx="1531">
                  <c:v>97.21</c:v>
                </c:pt>
                <c:pt idx="1532">
                  <c:v>89.59</c:v>
                </c:pt>
                <c:pt idx="1533">
                  <c:v>85.61</c:v>
                </c:pt>
                <c:pt idx="1534">
                  <c:v>84.59</c:v>
                </c:pt>
                <c:pt idx="1535">
                  <c:v>89.43</c:v>
                </c:pt>
                <c:pt idx="1536">
                  <c:v>90.1</c:v>
                </c:pt>
                <c:pt idx="1537">
                  <c:v>92.85</c:v>
                </c:pt>
                <c:pt idx="1538">
                  <c:v>94.91</c:v>
                </c:pt>
                <c:pt idx="1539">
                  <c:v>96.25</c:v>
                </c:pt>
                <c:pt idx="1540">
                  <c:v>95.22</c:v>
                </c:pt>
                <c:pt idx="1541">
                  <c:v>91.1</c:v>
                </c:pt>
                <c:pt idx="1542">
                  <c:v>94.21</c:v>
                </c:pt>
                <c:pt idx="1543">
                  <c:v>93.49</c:v>
                </c:pt>
                <c:pt idx="1544">
                  <c:v>94.03</c:v>
                </c:pt>
                <c:pt idx="1545">
                  <c:v>93.73</c:v>
                </c:pt>
                <c:pt idx="1546">
                  <c:v>100.61</c:v>
                </c:pt>
                <c:pt idx="1547">
                  <c:v>107.32</c:v>
                </c:pt>
                <c:pt idx="1548">
                  <c:v>111.65</c:v>
                </c:pt>
                <c:pt idx="1549">
                  <c:v>106.53</c:v>
                </c:pt>
                <c:pt idx="1550">
                  <c:v>98.59</c:v>
                </c:pt>
                <c:pt idx="1551">
                  <c:v>93.08</c:v>
                </c:pt>
                <c:pt idx="1552">
                  <c:v>94.74</c:v>
                </c:pt>
                <c:pt idx="1553">
                  <c:v>96.11</c:v>
                </c:pt>
                <c:pt idx="1554">
                  <c:v>94.23</c:v>
                </c:pt>
                <c:pt idx="1555">
                  <c:v>89.63</c:v>
                </c:pt>
                <c:pt idx="1556">
                  <c:v>84.5</c:v>
                </c:pt>
                <c:pt idx="1557">
                  <c:v>84.47</c:v>
                </c:pt>
                <c:pt idx="1558">
                  <c:v>86.87</c:v>
                </c:pt>
                <c:pt idx="1559">
                  <c:v>85.18</c:v>
                </c:pt>
                <c:pt idx="1560">
                  <c:v>83.91</c:v>
                </c:pt>
                <c:pt idx="1561">
                  <c:v>84.83</c:v>
                </c:pt>
                <c:pt idx="1562">
                  <c:v>89.58</c:v>
                </c:pt>
                <c:pt idx="1563">
                  <c:v>94.33</c:v>
                </c:pt>
                <c:pt idx="1564">
                  <c:v>97.95</c:v>
                </c:pt>
                <c:pt idx="1565">
                  <c:v>95.65</c:v>
                </c:pt>
                <c:pt idx="1566">
                  <c:v>95.02</c:v>
                </c:pt>
                <c:pt idx="1567">
                  <c:v>96.64</c:v>
                </c:pt>
                <c:pt idx="1568">
                  <c:v>97.41</c:v>
                </c:pt>
                <c:pt idx="1569">
                  <c:v>99.14</c:v>
                </c:pt>
                <c:pt idx="1570">
                  <c:v>98.4</c:v>
                </c:pt>
                <c:pt idx="1571">
                  <c:v>94.99</c:v>
                </c:pt>
                <c:pt idx="1572">
                  <c:v>94.89</c:v>
                </c:pt>
                <c:pt idx="1573">
                  <c:v>94.43</c:v>
                </c:pt>
                <c:pt idx="1574">
                  <c:v>94.71</c:v>
                </c:pt>
                <c:pt idx="1575">
                  <c:v>96.33</c:v>
                </c:pt>
                <c:pt idx="1576">
                  <c:v>93.3</c:v>
                </c:pt>
                <c:pt idx="1577">
                  <c:v>93.71</c:v>
                </c:pt>
                <c:pt idx="1578">
                  <c:v>90.15</c:v>
                </c:pt>
                <c:pt idx="1579">
                  <c:v>83.65</c:v>
                </c:pt>
                <c:pt idx="1580">
                  <c:v>82.24</c:v>
                </c:pt>
                <c:pt idx="1581">
                  <c:v>92.77</c:v>
                </c:pt>
                <c:pt idx="1582">
                  <c:v>92.39</c:v>
                </c:pt>
                <c:pt idx="1583">
                  <c:v>93.94</c:v>
                </c:pt>
                <c:pt idx="1584">
                  <c:v>87.81</c:v>
                </c:pt>
                <c:pt idx="1585">
                  <c:v>93.04</c:v>
                </c:pt>
                <c:pt idx="1586">
                  <c:v>92.95</c:v>
                </c:pt>
                <c:pt idx="1587">
                  <c:v>90.13</c:v>
                </c:pt>
                <c:pt idx="1588">
                  <c:v>88.61</c:v>
                </c:pt>
                <c:pt idx="1589">
                  <c:v>88.72</c:v>
                </c:pt>
                <c:pt idx="1590">
                  <c:v>87.9</c:v>
                </c:pt>
                <c:pt idx="1591">
                  <c:v>85.88</c:v>
                </c:pt>
                <c:pt idx="1592">
                  <c:v>92.79</c:v>
                </c:pt>
                <c:pt idx="1593">
                  <c:v>95.05</c:v>
                </c:pt>
                <c:pt idx="1594">
                  <c:v>88.24</c:v>
                </c:pt>
                <c:pt idx="1595">
                  <c:v>90.49</c:v>
                </c:pt>
                <c:pt idx="1596">
                  <c:v>92.51</c:v>
                </c:pt>
                <c:pt idx="1597">
                  <c:v>90.25</c:v>
                </c:pt>
                <c:pt idx="1598">
                  <c:v>87.56</c:v>
                </c:pt>
                <c:pt idx="1599">
                  <c:v>83.51</c:v>
                </c:pt>
                <c:pt idx="1600">
                  <c:v>83.1</c:v>
                </c:pt>
                <c:pt idx="1601">
                  <c:v>85.85</c:v>
                </c:pt>
                <c:pt idx="1602">
                  <c:v>88.53</c:v>
                </c:pt>
                <c:pt idx="1603">
                  <c:v>94.36</c:v>
                </c:pt>
                <c:pt idx="1604">
                  <c:v>90.74</c:v>
                </c:pt>
                <c:pt idx="1605">
                  <c:v>91.87</c:v>
                </c:pt>
                <c:pt idx="1606">
                  <c:v>92.92</c:v>
                </c:pt>
                <c:pt idx="1607">
                  <c:v>90.31</c:v>
                </c:pt>
                <c:pt idx="1608">
                  <c:v>85.6</c:v>
                </c:pt>
                <c:pt idx="1609">
                  <c:v>86.51</c:v>
                </c:pt>
                <c:pt idx="1610">
                  <c:v>92.63</c:v>
                </c:pt>
                <c:pt idx="1611">
                  <c:v>92.48</c:v>
                </c:pt>
                <c:pt idx="1612">
                  <c:v>99.66</c:v>
                </c:pt>
                <c:pt idx="1613">
                  <c:v>96.39</c:v>
                </c:pt>
                <c:pt idx="1614">
                  <c:v>91.86</c:v>
                </c:pt>
                <c:pt idx="1615">
                  <c:v>89.43</c:v>
                </c:pt>
                <c:pt idx="1616">
                  <c:v>90.23</c:v>
                </c:pt>
                <c:pt idx="1617">
                  <c:v>81.7</c:v>
                </c:pt>
                <c:pt idx="1618">
                  <c:v>87.84</c:v>
                </c:pt>
                <c:pt idx="1619">
                  <c:v>90.75</c:v>
                </c:pt>
                <c:pt idx="1620">
                  <c:v>87.56</c:v>
                </c:pt>
                <c:pt idx="1621">
                  <c:v>94.75</c:v>
                </c:pt>
                <c:pt idx="1622">
                  <c:v>93.39</c:v>
                </c:pt>
                <c:pt idx="1623">
                  <c:v>94.02</c:v>
                </c:pt>
                <c:pt idx="1624">
                  <c:v>90.54</c:v>
                </c:pt>
                <c:pt idx="1625">
                  <c:v>87.84</c:v>
                </c:pt>
                <c:pt idx="1626">
                  <c:v>94.66</c:v>
                </c:pt>
                <c:pt idx="1627">
                  <c:v>94.54</c:v>
                </c:pt>
                <c:pt idx="1628">
                  <c:v>90.27</c:v>
                </c:pt>
                <c:pt idx="1629">
                  <c:v>88.43</c:v>
                </c:pt>
                <c:pt idx="1630">
                  <c:v>85.93</c:v>
                </c:pt>
                <c:pt idx="1631">
                  <c:v>85.85</c:v>
                </c:pt>
                <c:pt idx="1632">
                  <c:v>82.86</c:v>
                </c:pt>
                <c:pt idx="1633">
                  <c:v>82.45</c:v>
                </c:pt>
                <c:pt idx="1634">
                  <c:v>84.17</c:v>
                </c:pt>
                <c:pt idx="1635">
                  <c:v>80.39</c:v>
                </c:pt>
                <c:pt idx="1636">
                  <c:v>78.42</c:v>
                </c:pt>
                <c:pt idx="1637">
                  <c:v>78.59</c:v>
                </c:pt>
                <c:pt idx="1638">
                  <c:v>84.07</c:v>
                </c:pt>
                <c:pt idx="1639">
                  <c:v>86.18</c:v>
                </c:pt>
                <c:pt idx="1640">
                  <c:v>82.98</c:v>
                </c:pt>
                <c:pt idx="1641">
                  <c:v>84.15</c:v>
                </c:pt>
                <c:pt idx="1642">
                  <c:v>80.739999999999995</c:v>
                </c:pt>
                <c:pt idx="1643">
                  <c:v>81.56</c:v>
                </c:pt>
                <c:pt idx="1644">
                  <c:v>78.7</c:v>
                </c:pt>
                <c:pt idx="1645">
                  <c:v>83.02</c:v>
                </c:pt>
                <c:pt idx="1646">
                  <c:v>86.74</c:v>
                </c:pt>
                <c:pt idx="1647">
                  <c:v>86.39</c:v>
                </c:pt>
                <c:pt idx="1648">
                  <c:v>82.1</c:v>
                </c:pt>
                <c:pt idx="1649">
                  <c:v>79.36</c:v>
                </c:pt>
                <c:pt idx="1650">
                  <c:v>83.33</c:v>
                </c:pt>
                <c:pt idx="1651">
                  <c:v>83.06</c:v>
                </c:pt>
                <c:pt idx="1652">
                  <c:v>87.7</c:v>
                </c:pt>
                <c:pt idx="1653">
                  <c:v>89.27</c:v>
                </c:pt>
                <c:pt idx="1654">
                  <c:v>92.17</c:v>
                </c:pt>
                <c:pt idx="1655">
                  <c:v>90.89</c:v>
                </c:pt>
                <c:pt idx="1656">
                  <c:v>104.72</c:v>
                </c:pt>
                <c:pt idx="1657">
                  <c:v>92.5</c:v>
                </c:pt>
                <c:pt idx="1658">
                  <c:v>78.77</c:v>
                </c:pt>
                <c:pt idx="1659">
                  <c:v>77.02</c:v>
                </c:pt>
                <c:pt idx="1660">
                  <c:v>75.180000000000007</c:v>
                </c:pt>
                <c:pt idx="1661">
                  <c:v>76.77</c:v>
                </c:pt>
                <c:pt idx="1662">
                  <c:v>78.37</c:v>
                </c:pt>
                <c:pt idx="1663">
                  <c:v>78.510000000000005</c:v>
                </c:pt>
                <c:pt idx="1664">
                  <c:v>77.489999999999995</c:v>
                </c:pt>
                <c:pt idx="1665">
                  <c:v>78.52</c:v>
                </c:pt>
                <c:pt idx="1666">
                  <c:v>78.28</c:v>
                </c:pt>
                <c:pt idx="1667">
                  <c:v>77.84</c:v>
                </c:pt>
                <c:pt idx="1668">
                  <c:v>77.260000000000005</c:v>
                </c:pt>
                <c:pt idx="1669">
                  <c:v>78.77</c:v>
                </c:pt>
                <c:pt idx="1670">
                  <c:v>73.430000000000007</c:v>
                </c:pt>
                <c:pt idx="1671">
                  <c:v>73.87</c:v>
                </c:pt>
                <c:pt idx="1672">
                  <c:v>71.86</c:v>
                </c:pt>
                <c:pt idx="1673">
                  <c:v>76.17</c:v>
                </c:pt>
                <c:pt idx="1674">
                  <c:v>76.92</c:v>
                </c:pt>
                <c:pt idx="1675">
                  <c:v>78.16</c:v>
                </c:pt>
                <c:pt idx="1676">
                  <c:v>73.61</c:v>
                </c:pt>
                <c:pt idx="1677">
                  <c:v>77.34</c:v>
                </c:pt>
                <c:pt idx="1678">
                  <c:v>76.72</c:v>
                </c:pt>
                <c:pt idx="1679">
                  <c:v>73.290000000000006</c:v>
                </c:pt>
                <c:pt idx="1680">
                  <c:v>77.790000000000006</c:v>
                </c:pt>
                <c:pt idx="1681">
                  <c:v>75.069999999999993</c:v>
                </c:pt>
                <c:pt idx="1682">
                  <c:v>77.239999999999995</c:v>
                </c:pt>
                <c:pt idx="1683">
                  <c:v>76.86</c:v>
                </c:pt>
                <c:pt idx="1684">
                  <c:v>74.42</c:v>
                </c:pt>
                <c:pt idx="1685">
                  <c:v>76.099999999999994</c:v>
                </c:pt>
                <c:pt idx="1686">
                  <c:v>73.83</c:v>
                </c:pt>
                <c:pt idx="1687">
                  <c:v>73.25</c:v>
                </c:pt>
                <c:pt idx="1688">
                  <c:v>72.989999999999995</c:v>
                </c:pt>
                <c:pt idx="1689">
                  <c:v>72.55</c:v>
                </c:pt>
                <c:pt idx="1690">
                  <c:v>70.45</c:v>
                </c:pt>
                <c:pt idx="1691">
                  <c:v>79.650000000000006</c:v>
                </c:pt>
                <c:pt idx="1692">
                  <c:v>80.83</c:v>
                </c:pt>
                <c:pt idx="1693">
                  <c:v>78.66</c:v>
                </c:pt>
                <c:pt idx="1694">
                  <c:v>94.34</c:v>
                </c:pt>
                <c:pt idx="1695">
                  <c:v>90.23</c:v>
                </c:pt>
                <c:pt idx="1696">
                  <c:v>82.29</c:v>
                </c:pt>
                <c:pt idx="1697">
                  <c:v>86.57</c:v>
                </c:pt>
                <c:pt idx="1698">
                  <c:v>87.83</c:v>
                </c:pt>
                <c:pt idx="1699">
                  <c:v>82.27</c:v>
                </c:pt>
                <c:pt idx="1700">
                  <c:v>79.319999999999993</c:v>
                </c:pt>
                <c:pt idx="1701">
                  <c:v>78.78</c:v>
                </c:pt>
                <c:pt idx="1702">
                  <c:v>77.16</c:v>
                </c:pt>
                <c:pt idx="1703">
                  <c:v>76.650000000000006</c:v>
                </c:pt>
                <c:pt idx="1704">
                  <c:v>77.319999999999993</c:v>
                </c:pt>
                <c:pt idx="1705">
                  <c:v>79.989999999999995</c:v>
                </c:pt>
                <c:pt idx="1706">
                  <c:v>84.36</c:v>
                </c:pt>
                <c:pt idx="1707">
                  <c:v>83.5</c:v>
                </c:pt>
                <c:pt idx="1708">
                  <c:v>85.72</c:v>
                </c:pt>
                <c:pt idx="1709">
                  <c:v>93.07</c:v>
                </c:pt>
                <c:pt idx="1710">
                  <c:v>94.39</c:v>
                </c:pt>
                <c:pt idx="1711">
                  <c:v>89.45</c:v>
                </c:pt>
                <c:pt idx="1712">
                  <c:v>93.98</c:v>
                </c:pt>
                <c:pt idx="1713">
                  <c:v>91.78</c:v>
                </c:pt>
                <c:pt idx="1714">
                  <c:v>88.86</c:v>
                </c:pt>
                <c:pt idx="1715">
                  <c:v>85.14</c:v>
                </c:pt>
                <c:pt idx="1716">
                  <c:v>85.32</c:v>
                </c:pt>
                <c:pt idx="1717">
                  <c:v>83.2</c:v>
                </c:pt>
                <c:pt idx="1718">
                  <c:v>84.23</c:v>
                </c:pt>
                <c:pt idx="1719">
                  <c:v>80.489999999999995</c:v>
                </c:pt>
                <c:pt idx="1720">
                  <c:v>85.23</c:v>
                </c:pt>
                <c:pt idx="1721">
                  <c:v>83.12</c:v>
                </c:pt>
                <c:pt idx="1722">
                  <c:v>84.49</c:v>
                </c:pt>
                <c:pt idx="1723">
                  <c:v>82.12</c:v>
                </c:pt>
                <c:pt idx="1724">
                  <c:v>82.04</c:v>
                </c:pt>
                <c:pt idx="1725">
                  <c:v>82.75</c:v>
                </c:pt>
                <c:pt idx="1726">
                  <c:v>83.37</c:v>
                </c:pt>
                <c:pt idx="1727">
                  <c:v>82.39</c:v>
                </c:pt>
                <c:pt idx="1728">
                  <c:v>104.62</c:v>
                </c:pt>
                <c:pt idx="1729">
                  <c:v>88.19</c:v>
                </c:pt>
                <c:pt idx="1730">
                  <c:v>105.26</c:v>
                </c:pt>
                <c:pt idx="1731">
                  <c:v>107.65</c:v>
                </c:pt>
                <c:pt idx="1732">
                  <c:v>95.52</c:v>
                </c:pt>
                <c:pt idx="1733">
                  <c:v>90.91</c:v>
                </c:pt>
                <c:pt idx="1734">
                  <c:v>85.16</c:v>
                </c:pt>
                <c:pt idx="1735">
                  <c:v>84.99</c:v>
                </c:pt>
                <c:pt idx="1736">
                  <c:v>85.89</c:v>
                </c:pt>
                <c:pt idx="1737">
                  <c:v>85.09</c:v>
                </c:pt>
                <c:pt idx="1738">
                  <c:v>84.42</c:v>
                </c:pt>
                <c:pt idx="1739">
                  <c:v>83.46</c:v>
                </c:pt>
                <c:pt idx="1740">
                  <c:v>88.11</c:v>
                </c:pt>
                <c:pt idx="1741">
                  <c:v>83.82</c:v>
                </c:pt>
                <c:pt idx="1742">
                  <c:v>80.91</c:v>
                </c:pt>
                <c:pt idx="1743">
                  <c:v>79.78</c:v>
                </c:pt>
                <c:pt idx="1744">
                  <c:v>78.86</c:v>
                </c:pt>
                <c:pt idx="1745">
                  <c:v>79.81</c:v>
                </c:pt>
                <c:pt idx="1746">
                  <c:v>81.14</c:v>
                </c:pt>
                <c:pt idx="1747">
                  <c:v>80.45</c:v>
                </c:pt>
                <c:pt idx="1748">
                  <c:v>80.45</c:v>
                </c:pt>
                <c:pt idx="1749">
                  <c:v>80.45</c:v>
                </c:pt>
                <c:pt idx="1750">
                  <c:v>83.15</c:v>
                </c:pt>
                <c:pt idx="1751">
                  <c:v>84.5</c:v>
                </c:pt>
                <c:pt idx="1752">
                  <c:v>84</c:v>
                </c:pt>
                <c:pt idx="1753">
                  <c:v>85.01</c:v>
                </c:pt>
                <c:pt idx="1754">
                  <c:v>88.04</c:v>
                </c:pt>
                <c:pt idx="1755">
                  <c:v>88.23</c:v>
                </c:pt>
                <c:pt idx="1756">
                  <c:v>87.4</c:v>
                </c:pt>
                <c:pt idx="1757">
                  <c:v>83.88</c:v>
                </c:pt>
                <c:pt idx="1758">
                  <c:v>82.65</c:v>
                </c:pt>
                <c:pt idx="1759">
                  <c:v>81.72</c:v>
                </c:pt>
                <c:pt idx="1760">
                  <c:v>80.22</c:v>
                </c:pt>
                <c:pt idx="1761">
                  <c:v>84.87</c:v>
                </c:pt>
                <c:pt idx="1762">
                  <c:v>86.99</c:v>
                </c:pt>
                <c:pt idx="1763">
                  <c:v>87.39</c:v>
                </c:pt>
                <c:pt idx="1764">
                  <c:v>93.18</c:v>
                </c:pt>
                <c:pt idx="1765">
                  <c:v>91.91</c:v>
                </c:pt>
                <c:pt idx="1766">
                  <c:v>84.19</c:v>
                </c:pt>
                <c:pt idx="1767">
                  <c:v>82.94</c:v>
                </c:pt>
                <c:pt idx="1768">
                  <c:v>92.32</c:v>
                </c:pt>
                <c:pt idx="1769">
                  <c:v>101.77</c:v>
                </c:pt>
                <c:pt idx="1770">
                  <c:v>95.08</c:v>
                </c:pt>
                <c:pt idx="1771">
                  <c:v>93.87</c:v>
                </c:pt>
                <c:pt idx="1772">
                  <c:v>90.45</c:v>
                </c:pt>
                <c:pt idx="1773">
                  <c:v>89.99</c:v>
                </c:pt>
                <c:pt idx="1774">
                  <c:v>88.59</c:v>
                </c:pt>
                <c:pt idx="1775">
                  <c:v>100.98</c:v>
                </c:pt>
                <c:pt idx="1776">
                  <c:v>96.1</c:v>
                </c:pt>
                <c:pt idx="1777">
                  <c:v>100.93</c:v>
                </c:pt>
                <c:pt idx="1778">
                  <c:v>94.83</c:v>
                </c:pt>
                <c:pt idx="1779">
                  <c:v>90.76</c:v>
                </c:pt>
                <c:pt idx="1780">
                  <c:v>86.05</c:v>
                </c:pt>
                <c:pt idx="1781">
                  <c:v>86.54</c:v>
                </c:pt>
                <c:pt idx="1782">
                  <c:v>84.89</c:v>
                </c:pt>
                <c:pt idx="1783">
                  <c:v>83.7</c:v>
                </c:pt>
                <c:pt idx="1784">
                  <c:v>82.72</c:v>
                </c:pt>
                <c:pt idx="1785">
                  <c:v>77.41</c:v>
                </c:pt>
                <c:pt idx="1786">
                  <c:v>75.489999999999995</c:v>
                </c:pt>
                <c:pt idx="1787">
                  <c:v>75.92</c:v>
                </c:pt>
                <c:pt idx="1788">
                  <c:v>79.540000000000006</c:v>
                </c:pt>
                <c:pt idx="1789">
                  <c:v>77.16</c:v>
                </c:pt>
                <c:pt idx="1790">
                  <c:v>76.14</c:v>
                </c:pt>
                <c:pt idx="1791">
                  <c:v>76.22</c:v>
                </c:pt>
                <c:pt idx="1792">
                  <c:v>80.84</c:v>
                </c:pt>
                <c:pt idx="1793">
                  <c:v>77.06</c:v>
                </c:pt>
                <c:pt idx="1794">
                  <c:v>74.680000000000007</c:v>
                </c:pt>
                <c:pt idx="1795">
                  <c:v>73.64</c:v>
                </c:pt>
                <c:pt idx="1796">
                  <c:v>72.489999999999995</c:v>
                </c:pt>
                <c:pt idx="1797">
                  <c:v>75.05</c:v>
                </c:pt>
                <c:pt idx="1798">
                  <c:v>76.8</c:v>
                </c:pt>
                <c:pt idx="1799">
                  <c:v>76.739999999999995</c:v>
                </c:pt>
                <c:pt idx="1800">
                  <c:v>76.540000000000006</c:v>
                </c:pt>
                <c:pt idx="1801">
                  <c:v>76.650000000000006</c:v>
                </c:pt>
                <c:pt idx="1802">
                  <c:v>74.349999999999994</c:v>
                </c:pt>
                <c:pt idx="1803">
                  <c:v>73.08</c:v>
                </c:pt>
                <c:pt idx="1804">
                  <c:v>71.099999999999994</c:v>
                </c:pt>
                <c:pt idx="1805">
                  <c:v>70.36</c:v>
                </c:pt>
                <c:pt idx="1806">
                  <c:v>69.739999999999995</c:v>
                </c:pt>
                <c:pt idx="1807">
                  <c:v>75.53</c:v>
                </c:pt>
                <c:pt idx="1808">
                  <c:v>76.569999999999993</c:v>
                </c:pt>
                <c:pt idx="1809">
                  <c:v>75.41</c:v>
                </c:pt>
                <c:pt idx="1810">
                  <c:v>77.33</c:v>
                </c:pt>
                <c:pt idx="1811">
                  <c:v>78.77</c:v>
                </c:pt>
                <c:pt idx="1812">
                  <c:v>78.94</c:v>
                </c:pt>
                <c:pt idx="1813">
                  <c:v>80.22</c:v>
                </c:pt>
                <c:pt idx="1814">
                  <c:v>86.21</c:v>
                </c:pt>
                <c:pt idx="1815">
                  <c:v>84.09</c:v>
                </c:pt>
                <c:pt idx="1816">
                  <c:v>86.91</c:v>
                </c:pt>
                <c:pt idx="1817">
                  <c:v>89.08</c:v>
                </c:pt>
                <c:pt idx="1818">
                  <c:v>90.38</c:v>
                </c:pt>
                <c:pt idx="1819">
                  <c:v>84.52</c:v>
                </c:pt>
                <c:pt idx="1820">
                  <c:v>80.02</c:v>
                </c:pt>
                <c:pt idx="1821">
                  <c:v>83.06</c:v>
                </c:pt>
                <c:pt idx="1822">
                  <c:v>92.36</c:v>
                </c:pt>
                <c:pt idx="1823">
                  <c:v>91.46</c:v>
                </c:pt>
                <c:pt idx="1824">
                  <c:v>91.49</c:v>
                </c:pt>
                <c:pt idx="1825">
                  <c:v>92.6</c:v>
                </c:pt>
                <c:pt idx="1826">
                  <c:v>90.66</c:v>
                </c:pt>
                <c:pt idx="1827">
                  <c:v>88.28</c:v>
                </c:pt>
                <c:pt idx="1828">
                  <c:v>85.8</c:v>
                </c:pt>
                <c:pt idx="1829">
                  <c:v>86.51</c:v>
                </c:pt>
                <c:pt idx="1830">
                  <c:v>83.46</c:v>
                </c:pt>
                <c:pt idx="1831">
                  <c:v>79.25</c:v>
                </c:pt>
                <c:pt idx="1832">
                  <c:v>78.400000000000006</c:v>
                </c:pt>
                <c:pt idx="1833">
                  <c:v>80.97</c:v>
                </c:pt>
                <c:pt idx="1834">
                  <c:v>79.73</c:v>
                </c:pt>
                <c:pt idx="1835">
                  <c:v>80.09</c:v>
                </c:pt>
                <c:pt idx="1836">
                  <c:v>79.489999999999995</c:v>
                </c:pt>
                <c:pt idx="1837">
                  <c:v>74.650000000000006</c:v>
                </c:pt>
                <c:pt idx="1838">
                  <c:v>73.22</c:v>
                </c:pt>
                <c:pt idx="1839">
                  <c:v>76.89</c:v>
                </c:pt>
                <c:pt idx="1840">
                  <c:v>77.56</c:v>
                </c:pt>
                <c:pt idx="1841">
                  <c:v>74.78</c:v>
                </c:pt>
                <c:pt idx="1842">
                  <c:v>73.08</c:v>
                </c:pt>
                <c:pt idx="1843">
                  <c:v>69.959999999999994</c:v>
                </c:pt>
                <c:pt idx="1844">
                  <c:v>74.930000000000007</c:v>
                </c:pt>
                <c:pt idx="1845">
                  <c:v>81.67</c:v>
                </c:pt>
                <c:pt idx="1846">
                  <c:v>76.430000000000007</c:v>
                </c:pt>
                <c:pt idx="1847">
                  <c:v>85.73</c:v>
                </c:pt>
                <c:pt idx="1848">
                  <c:v>93.79</c:v>
                </c:pt>
                <c:pt idx="1849">
                  <c:v>88.71</c:v>
                </c:pt>
                <c:pt idx="1850">
                  <c:v>103.08</c:v>
                </c:pt>
                <c:pt idx="1851">
                  <c:v>106.55</c:v>
                </c:pt>
                <c:pt idx="1852">
                  <c:v>111.43</c:v>
                </c:pt>
                <c:pt idx="1853">
                  <c:v>95.31</c:v>
                </c:pt>
                <c:pt idx="1854">
                  <c:v>90.85</c:v>
                </c:pt>
                <c:pt idx="1855">
                  <c:v>91.8</c:v>
                </c:pt>
                <c:pt idx="1856">
                  <c:v>103.37</c:v>
                </c:pt>
                <c:pt idx="1857">
                  <c:v>85.7</c:v>
                </c:pt>
                <c:pt idx="1858">
                  <c:v>72.7</c:v>
                </c:pt>
                <c:pt idx="1859">
                  <c:v>73.42</c:v>
                </c:pt>
                <c:pt idx="1860">
                  <c:v>75.02</c:v>
                </c:pt>
                <c:pt idx="1861">
                  <c:v>74.13</c:v>
                </c:pt>
                <c:pt idx="1862">
                  <c:v>72.430000000000007</c:v>
                </c:pt>
                <c:pt idx="1863">
                  <c:v>70.84</c:v>
                </c:pt>
                <c:pt idx="1864">
                  <c:v>70.03</c:v>
                </c:pt>
                <c:pt idx="1865">
                  <c:v>70.16</c:v>
                </c:pt>
                <c:pt idx="1866">
                  <c:v>68.52</c:v>
                </c:pt>
                <c:pt idx="1867">
                  <c:v>69.56</c:v>
                </c:pt>
                <c:pt idx="1868">
                  <c:v>69.44</c:v>
                </c:pt>
                <c:pt idx="1869">
                  <c:v>68.94</c:v>
                </c:pt>
                <c:pt idx="1870">
                  <c:v>67.09</c:v>
                </c:pt>
                <c:pt idx="1871">
                  <c:v>67.41</c:v>
                </c:pt>
                <c:pt idx="1872">
                  <c:v>67.41</c:v>
                </c:pt>
                <c:pt idx="1873">
                  <c:v>71.739999999999995</c:v>
                </c:pt>
                <c:pt idx="1874">
                  <c:v>69.39</c:v>
                </c:pt>
                <c:pt idx="1875">
                  <c:v>69.39</c:v>
                </c:pt>
                <c:pt idx="1876">
                  <c:v>69.39</c:v>
                </c:pt>
                <c:pt idx="1877">
                  <c:v>71.37</c:v>
                </c:pt>
                <c:pt idx="1878">
                  <c:v>71.91</c:v>
                </c:pt>
                <c:pt idx="1879">
                  <c:v>73.58</c:v>
                </c:pt>
                <c:pt idx="1880">
                  <c:v>75.06</c:v>
                </c:pt>
                <c:pt idx="1881">
                  <c:v>74.45</c:v>
                </c:pt>
                <c:pt idx="1882">
                  <c:v>69.05</c:v>
                </c:pt>
                <c:pt idx="1883">
                  <c:v>64.95</c:v>
                </c:pt>
                <c:pt idx="1884">
                  <c:v>63.77</c:v>
                </c:pt>
                <c:pt idx="1885">
                  <c:v>64.88</c:v>
                </c:pt>
                <c:pt idx="1886">
                  <c:v>65.14</c:v>
                </c:pt>
                <c:pt idx="1887">
                  <c:v>64.81</c:v>
                </c:pt>
                <c:pt idx="1888">
                  <c:v>64.81</c:v>
                </c:pt>
                <c:pt idx="1889">
                  <c:v>69.59</c:v>
                </c:pt>
                <c:pt idx="1890">
                  <c:v>73.209999999999994</c:v>
                </c:pt>
                <c:pt idx="1891">
                  <c:v>72.73</c:v>
                </c:pt>
                <c:pt idx="1892">
                  <c:v>75.8</c:v>
                </c:pt>
                <c:pt idx="1893">
                  <c:v>70.45</c:v>
                </c:pt>
                <c:pt idx="1894">
                  <c:v>70.45</c:v>
                </c:pt>
                <c:pt idx="1895">
                  <c:v>70.45</c:v>
                </c:pt>
                <c:pt idx="1896">
                  <c:v>80.55</c:v>
                </c:pt>
                <c:pt idx="1897">
                  <c:v>83.38</c:v>
                </c:pt>
                <c:pt idx="1898">
                  <c:v>85.39</c:v>
                </c:pt>
                <c:pt idx="1899">
                  <c:v>83.2</c:v>
                </c:pt>
                <c:pt idx="1900">
                  <c:v>82.23</c:v>
                </c:pt>
                <c:pt idx="1901">
                  <c:v>67.17</c:v>
                </c:pt>
                <c:pt idx="1902">
                  <c:v>67.03</c:v>
                </c:pt>
                <c:pt idx="1903">
                  <c:v>68</c:v>
                </c:pt>
                <c:pt idx="1904">
                  <c:v>63.49</c:v>
                </c:pt>
                <c:pt idx="1905">
                  <c:v>63.49</c:v>
                </c:pt>
                <c:pt idx="1906">
                  <c:v>62.71</c:v>
                </c:pt>
                <c:pt idx="1907">
                  <c:v>66.67</c:v>
                </c:pt>
                <c:pt idx="1908">
                  <c:v>69.709999999999994</c:v>
                </c:pt>
                <c:pt idx="1909">
                  <c:v>70.83</c:v>
                </c:pt>
                <c:pt idx="1910">
                  <c:v>73.14</c:v>
                </c:pt>
                <c:pt idx="1911">
                  <c:v>70.03</c:v>
                </c:pt>
                <c:pt idx="1912">
                  <c:v>68.33</c:v>
                </c:pt>
                <c:pt idx="1913">
                  <c:v>68.33</c:v>
                </c:pt>
                <c:pt idx="1914">
                  <c:v>68.33</c:v>
                </c:pt>
                <c:pt idx="1915">
                  <c:v>68.33</c:v>
                </c:pt>
                <c:pt idx="1916">
                  <c:v>67.739999999999995</c:v>
                </c:pt>
                <c:pt idx="1917">
                  <c:v>75.709999999999994</c:v>
                </c:pt>
                <c:pt idx="1918">
                  <c:v>69.31</c:v>
                </c:pt>
                <c:pt idx="1919">
                  <c:v>69.56</c:v>
                </c:pt>
                <c:pt idx="1920">
                  <c:v>73.98</c:v>
                </c:pt>
                <c:pt idx="1921">
                  <c:v>75.72</c:v>
                </c:pt>
                <c:pt idx="1922">
                  <c:v>77.78</c:v>
                </c:pt>
                <c:pt idx="1923">
                  <c:v>74.459999999999994</c:v>
                </c:pt>
                <c:pt idx="1924">
                  <c:v>78.25</c:v>
                </c:pt>
                <c:pt idx="1925">
                  <c:v>97.71</c:v>
                </c:pt>
                <c:pt idx="1926">
                  <c:v>93.5</c:v>
                </c:pt>
                <c:pt idx="1927">
                  <c:v>83.96</c:v>
                </c:pt>
                <c:pt idx="1928">
                  <c:v>92.47</c:v>
                </c:pt>
                <c:pt idx="1929">
                  <c:v>92.35</c:v>
                </c:pt>
                <c:pt idx="1930">
                  <c:v>99.66</c:v>
                </c:pt>
                <c:pt idx="1931">
                  <c:v>106.78</c:v>
                </c:pt>
                <c:pt idx="1932">
                  <c:v>100.4</c:v>
                </c:pt>
                <c:pt idx="1933">
                  <c:v>102.87</c:v>
                </c:pt>
                <c:pt idx="1934">
                  <c:v>92.58</c:v>
                </c:pt>
                <c:pt idx="1935">
                  <c:v>83.17</c:v>
                </c:pt>
                <c:pt idx="1936">
                  <c:v>79.89</c:v>
                </c:pt>
                <c:pt idx="1937">
                  <c:v>78.64</c:v>
                </c:pt>
                <c:pt idx="1938">
                  <c:v>79.56</c:v>
                </c:pt>
                <c:pt idx="1939">
                  <c:v>78.41</c:v>
                </c:pt>
                <c:pt idx="1940">
                  <c:v>77.489999999999995</c:v>
                </c:pt>
                <c:pt idx="1941">
                  <c:v>75.819999999999993</c:v>
                </c:pt>
                <c:pt idx="1942">
                  <c:v>86.23</c:v>
                </c:pt>
                <c:pt idx="1943">
                  <c:v>79.83</c:v>
                </c:pt>
                <c:pt idx="1944">
                  <c:v>78.959999999999994</c:v>
                </c:pt>
                <c:pt idx="1945">
                  <c:v>77.84</c:v>
                </c:pt>
                <c:pt idx="1946">
                  <c:v>76.459999999999994</c:v>
                </c:pt>
                <c:pt idx="1947">
                  <c:v>79.42</c:v>
                </c:pt>
                <c:pt idx="1948">
                  <c:v>78.94</c:v>
                </c:pt>
                <c:pt idx="1949">
                  <c:v>81.45</c:v>
                </c:pt>
                <c:pt idx="1950">
                  <c:v>92.84</c:v>
                </c:pt>
                <c:pt idx="1951">
                  <c:v>82.14</c:v>
                </c:pt>
                <c:pt idx="1952">
                  <c:v>80.52</c:v>
                </c:pt>
                <c:pt idx="1953">
                  <c:v>79.55</c:v>
                </c:pt>
                <c:pt idx="1954">
                  <c:v>83.07</c:v>
                </c:pt>
                <c:pt idx="1955">
                  <c:v>82.35</c:v>
                </c:pt>
                <c:pt idx="1956">
                  <c:v>85.12</c:v>
                </c:pt>
                <c:pt idx="1957">
                  <c:v>83.45</c:v>
                </c:pt>
                <c:pt idx="1958">
                  <c:v>92.14</c:v>
                </c:pt>
                <c:pt idx="1959">
                  <c:v>97.11</c:v>
                </c:pt>
                <c:pt idx="1960">
                  <c:v>87.79</c:v>
                </c:pt>
                <c:pt idx="1961">
                  <c:v>81.89</c:v>
                </c:pt>
                <c:pt idx="1962">
                  <c:v>81.349999999999994</c:v>
                </c:pt>
                <c:pt idx="1963">
                  <c:v>77.03</c:v>
                </c:pt>
                <c:pt idx="1964">
                  <c:v>78.64</c:v>
                </c:pt>
                <c:pt idx="1965">
                  <c:v>77.290000000000006</c:v>
                </c:pt>
                <c:pt idx="1966">
                  <c:v>74.77</c:v>
                </c:pt>
                <c:pt idx="1967">
                  <c:v>76.27</c:v>
                </c:pt>
                <c:pt idx="1968">
                  <c:v>74.709999999999994</c:v>
                </c:pt>
                <c:pt idx="1969">
                  <c:v>74.86</c:v>
                </c:pt>
                <c:pt idx="1970">
                  <c:v>72.2</c:v>
                </c:pt>
                <c:pt idx="1971">
                  <c:v>67.510000000000005</c:v>
                </c:pt>
                <c:pt idx="1972">
                  <c:v>67.33</c:v>
                </c:pt>
                <c:pt idx="1973">
                  <c:v>67.73</c:v>
                </c:pt>
                <c:pt idx="1974">
                  <c:v>69.53</c:v>
                </c:pt>
                <c:pt idx="1975">
                  <c:v>74.510000000000005</c:v>
                </c:pt>
                <c:pt idx="1976">
                  <c:v>71.430000000000007</c:v>
                </c:pt>
                <c:pt idx="1977">
                  <c:v>69.19</c:v>
                </c:pt>
                <c:pt idx="1978">
                  <c:v>78.56</c:v>
                </c:pt>
                <c:pt idx="1979">
                  <c:v>83.94</c:v>
                </c:pt>
                <c:pt idx="1980">
                  <c:v>82.2</c:v>
                </c:pt>
                <c:pt idx="1981">
                  <c:v>80.67</c:v>
                </c:pt>
                <c:pt idx="1982">
                  <c:v>72.08</c:v>
                </c:pt>
                <c:pt idx="1983">
                  <c:v>70.08</c:v>
                </c:pt>
                <c:pt idx="1984">
                  <c:v>68.62</c:v>
                </c:pt>
                <c:pt idx="1985">
                  <c:v>66.739999999999995</c:v>
                </c:pt>
                <c:pt idx="1986">
                  <c:v>66.22</c:v>
                </c:pt>
                <c:pt idx="1987">
                  <c:v>68.75</c:v>
                </c:pt>
                <c:pt idx="1988">
                  <c:v>70.489999999999995</c:v>
                </c:pt>
                <c:pt idx="1989">
                  <c:v>67.63</c:v>
                </c:pt>
                <c:pt idx="1990">
                  <c:v>65.47</c:v>
                </c:pt>
                <c:pt idx="1991">
                  <c:v>64.489999999999995</c:v>
                </c:pt>
                <c:pt idx="1992">
                  <c:v>64.5</c:v>
                </c:pt>
                <c:pt idx="1993">
                  <c:v>64.540000000000006</c:v>
                </c:pt>
                <c:pt idx="1994">
                  <c:v>64.400000000000006</c:v>
                </c:pt>
                <c:pt idx="1995">
                  <c:v>64.930000000000007</c:v>
                </c:pt>
                <c:pt idx="1996">
                  <c:v>62.64</c:v>
                </c:pt>
                <c:pt idx="1997">
                  <c:v>62.16</c:v>
                </c:pt>
                <c:pt idx="1998">
                  <c:v>61.76</c:v>
                </c:pt>
                <c:pt idx="1999">
                  <c:v>61.76</c:v>
                </c:pt>
                <c:pt idx="2000">
                  <c:v>61.76</c:v>
                </c:pt>
                <c:pt idx="2001">
                  <c:v>69.03</c:v>
                </c:pt>
                <c:pt idx="2002">
                  <c:v>71.599999999999994</c:v>
                </c:pt>
                <c:pt idx="2003">
                  <c:v>68.72</c:v>
                </c:pt>
                <c:pt idx="2004">
                  <c:v>67.58</c:v>
                </c:pt>
                <c:pt idx="2005">
                  <c:v>68.77</c:v>
                </c:pt>
                <c:pt idx="2006">
                  <c:v>66.56</c:v>
                </c:pt>
                <c:pt idx="2007">
                  <c:v>68.06</c:v>
                </c:pt>
                <c:pt idx="2008">
                  <c:v>66.86</c:v>
                </c:pt>
                <c:pt idx="2009">
                  <c:v>64.95</c:v>
                </c:pt>
                <c:pt idx="2010">
                  <c:v>67.37</c:v>
                </c:pt>
                <c:pt idx="2011">
                  <c:v>66.930000000000007</c:v>
                </c:pt>
                <c:pt idx="2012">
                  <c:v>67.95</c:v>
                </c:pt>
                <c:pt idx="2013">
                  <c:v>68.760000000000005</c:v>
                </c:pt>
                <c:pt idx="2014">
                  <c:v>68.19</c:v>
                </c:pt>
                <c:pt idx="2015">
                  <c:v>67.67</c:v>
                </c:pt>
                <c:pt idx="2016">
                  <c:v>65.47</c:v>
                </c:pt>
                <c:pt idx="2017">
                  <c:v>67.08</c:v>
                </c:pt>
                <c:pt idx="2018">
                  <c:v>70.88</c:v>
                </c:pt>
                <c:pt idx="2019">
                  <c:v>70.5</c:v>
                </c:pt>
                <c:pt idx="2020">
                  <c:v>74.209999999999994</c:v>
                </c:pt>
                <c:pt idx="2021">
                  <c:v>79.97</c:v>
                </c:pt>
                <c:pt idx="2022">
                  <c:v>79.81</c:v>
                </c:pt>
                <c:pt idx="2023">
                  <c:v>81.5</c:v>
                </c:pt>
                <c:pt idx="2024">
                  <c:v>78.41</c:v>
                </c:pt>
                <c:pt idx="2025">
                  <c:v>71.760000000000005</c:v>
                </c:pt>
                <c:pt idx="2026">
                  <c:v>73.41</c:v>
                </c:pt>
                <c:pt idx="2027">
                  <c:v>73.33</c:v>
                </c:pt>
                <c:pt idx="2028">
                  <c:v>72.58</c:v>
                </c:pt>
                <c:pt idx="2029">
                  <c:v>75.239999999999995</c:v>
                </c:pt>
                <c:pt idx="2030">
                  <c:v>72.31</c:v>
                </c:pt>
                <c:pt idx="2031">
                  <c:v>72.86</c:v>
                </c:pt>
                <c:pt idx="2032">
                  <c:v>72.72</c:v>
                </c:pt>
                <c:pt idx="2033">
                  <c:v>71.56</c:v>
                </c:pt>
                <c:pt idx="2034">
                  <c:v>69.28</c:v>
                </c:pt>
                <c:pt idx="2035">
                  <c:v>68.150000000000006</c:v>
                </c:pt>
                <c:pt idx="2036">
                  <c:v>68.349999999999994</c:v>
                </c:pt>
                <c:pt idx="2037">
                  <c:v>71.66</c:v>
                </c:pt>
                <c:pt idx="2038">
                  <c:v>73.209999999999994</c:v>
                </c:pt>
                <c:pt idx="2039">
                  <c:v>76.28</c:v>
                </c:pt>
                <c:pt idx="2040">
                  <c:v>82.14</c:v>
                </c:pt>
                <c:pt idx="2041">
                  <c:v>79.91</c:v>
                </c:pt>
                <c:pt idx="2042">
                  <c:v>77.290000000000006</c:v>
                </c:pt>
                <c:pt idx="2043">
                  <c:v>78.92</c:v>
                </c:pt>
                <c:pt idx="2044">
                  <c:v>75.81</c:v>
                </c:pt>
                <c:pt idx="2045">
                  <c:v>89.96</c:v>
                </c:pt>
                <c:pt idx="2046">
                  <c:v>80.37</c:v>
                </c:pt>
                <c:pt idx="2047">
                  <c:v>81.41</c:v>
                </c:pt>
                <c:pt idx="2048">
                  <c:v>75.22</c:v>
                </c:pt>
                <c:pt idx="2049">
                  <c:v>76.64</c:v>
                </c:pt>
                <c:pt idx="2050">
                  <c:v>77.66</c:v>
                </c:pt>
                <c:pt idx="2051">
                  <c:v>81.08</c:v>
                </c:pt>
                <c:pt idx="2052">
                  <c:v>81.209999999999994</c:v>
                </c:pt>
                <c:pt idx="2053">
                  <c:v>81.72</c:v>
                </c:pt>
                <c:pt idx="2054">
                  <c:v>83.58</c:v>
                </c:pt>
                <c:pt idx="2055">
                  <c:v>97.42</c:v>
                </c:pt>
                <c:pt idx="2056">
                  <c:v>101.11</c:v>
                </c:pt>
                <c:pt idx="2057">
                  <c:v>93.12</c:v>
                </c:pt>
                <c:pt idx="2058">
                  <c:v>98.32</c:v>
                </c:pt>
                <c:pt idx="2059">
                  <c:v>96.38</c:v>
                </c:pt>
                <c:pt idx="2060">
                  <c:v>97.4</c:v>
                </c:pt>
                <c:pt idx="2061">
                  <c:v>91.84</c:v>
                </c:pt>
                <c:pt idx="2062">
                  <c:v>87.54</c:v>
                </c:pt>
                <c:pt idx="2063">
                  <c:v>85.98</c:v>
                </c:pt>
                <c:pt idx="2064">
                  <c:v>81.27</c:v>
                </c:pt>
                <c:pt idx="2065">
                  <c:v>78.48</c:v>
                </c:pt>
                <c:pt idx="2066">
                  <c:v>82.2</c:v>
                </c:pt>
                <c:pt idx="2067">
                  <c:v>81.02</c:v>
                </c:pt>
                <c:pt idx="2068">
                  <c:v>80.84</c:v>
                </c:pt>
                <c:pt idx="2069">
                  <c:v>79.900000000000006</c:v>
                </c:pt>
                <c:pt idx="2070">
                  <c:v>79.61</c:v>
                </c:pt>
                <c:pt idx="2071">
                  <c:v>79.58</c:v>
                </c:pt>
                <c:pt idx="2072">
                  <c:v>79.33</c:v>
                </c:pt>
                <c:pt idx="2073">
                  <c:v>79.39</c:v>
                </c:pt>
                <c:pt idx="2074">
                  <c:v>78.849999999999994</c:v>
                </c:pt>
                <c:pt idx="2075">
                  <c:v>80.53</c:v>
                </c:pt>
                <c:pt idx="2076">
                  <c:v>81.11</c:v>
                </c:pt>
                <c:pt idx="2077">
                  <c:v>82.41</c:v>
                </c:pt>
                <c:pt idx="2078">
                  <c:v>80.77</c:v>
                </c:pt>
                <c:pt idx="2079">
                  <c:v>79.989999999999995</c:v>
                </c:pt>
                <c:pt idx="2080">
                  <c:v>77.33</c:v>
                </c:pt>
                <c:pt idx="2081">
                  <c:v>77.84</c:v>
                </c:pt>
                <c:pt idx="2082">
                  <c:v>79.3</c:v>
                </c:pt>
                <c:pt idx="2083">
                  <c:v>82.12</c:v>
                </c:pt>
                <c:pt idx="2084">
                  <c:v>83.1</c:v>
                </c:pt>
                <c:pt idx="2085">
                  <c:v>89.25</c:v>
                </c:pt>
                <c:pt idx="2086">
                  <c:v>91.58</c:v>
                </c:pt>
                <c:pt idx="2087">
                  <c:v>84.52</c:v>
                </c:pt>
                <c:pt idx="2088">
                  <c:v>81.52</c:v>
                </c:pt>
                <c:pt idx="2089">
                  <c:v>77.47</c:v>
                </c:pt>
                <c:pt idx="2090">
                  <c:v>77.7</c:v>
                </c:pt>
                <c:pt idx="2091">
                  <c:v>87.41</c:v>
                </c:pt>
                <c:pt idx="2092">
                  <c:v>91.9</c:v>
                </c:pt>
                <c:pt idx="2093">
                  <c:v>86.21</c:v>
                </c:pt>
                <c:pt idx="2094">
                  <c:v>96.72</c:v>
                </c:pt>
                <c:pt idx="2095">
                  <c:v>90.63</c:v>
                </c:pt>
                <c:pt idx="2096">
                  <c:v>95.02</c:v>
                </c:pt>
                <c:pt idx="2097">
                  <c:v>92.47</c:v>
                </c:pt>
                <c:pt idx="2098">
                  <c:v>98.12</c:v>
                </c:pt>
                <c:pt idx="2099">
                  <c:v>93.75</c:v>
                </c:pt>
                <c:pt idx="2100">
                  <c:v>87.77</c:v>
                </c:pt>
                <c:pt idx="2101">
                  <c:v>88.73</c:v>
                </c:pt>
                <c:pt idx="2102">
                  <c:v>99.2</c:v>
                </c:pt>
                <c:pt idx="2103">
                  <c:v>89.08</c:v>
                </c:pt>
                <c:pt idx="2104">
                  <c:v>102.13</c:v>
                </c:pt>
                <c:pt idx="2105">
                  <c:v>113.38</c:v>
                </c:pt>
                <c:pt idx="2106">
                  <c:v>131.57</c:v>
                </c:pt>
                <c:pt idx="2107">
                  <c:v>120.61</c:v>
                </c:pt>
                <c:pt idx="2108">
                  <c:v>129.01</c:v>
                </c:pt>
                <c:pt idx="2109">
                  <c:v>121.94</c:v>
                </c:pt>
                <c:pt idx="2110">
                  <c:v>118.84</c:v>
                </c:pt>
                <c:pt idx="2111">
                  <c:v>108.83</c:v>
                </c:pt>
                <c:pt idx="2112">
                  <c:v>104.09</c:v>
                </c:pt>
                <c:pt idx="2113">
                  <c:v>108.82</c:v>
                </c:pt>
                <c:pt idx="2114">
                  <c:v>102.05</c:v>
                </c:pt>
                <c:pt idx="2115">
                  <c:v>104.38</c:v>
                </c:pt>
                <c:pt idx="2116">
                  <c:v>100.75</c:v>
                </c:pt>
                <c:pt idx="2117">
                  <c:v>95.89</c:v>
                </c:pt>
                <c:pt idx="2118">
                  <c:v>99.34</c:v>
                </c:pt>
                <c:pt idx="2119">
                  <c:v>98.52</c:v>
                </c:pt>
                <c:pt idx="2120">
                  <c:v>94.1</c:v>
                </c:pt>
                <c:pt idx="2121">
                  <c:v>93.19</c:v>
                </c:pt>
                <c:pt idx="2122">
                  <c:v>92.44</c:v>
                </c:pt>
                <c:pt idx="2123">
                  <c:v>87.08</c:v>
                </c:pt>
                <c:pt idx="2124">
                  <c:v>83.42</c:v>
                </c:pt>
                <c:pt idx="2125">
                  <c:v>80.44</c:v>
                </c:pt>
                <c:pt idx="2126">
                  <c:v>79.7</c:v>
                </c:pt>
                <c:pt idx="2127">
                  <c:v>79.790000000000006</c:v>
                </c:pt>
                <c:pt idx="2128">
                  <c:v>83.1</c:v>
                </c:pt>
                <c:pt idx="2129">
                  <c:v>86.29</c:v>
                </c:pt>
                <c:pt idx="2130">
                  <c:v>85.58</c:v>
                </c:pt>
                <c:pt idx="2131">
                  <c:v>84.79</c:v>
                </c:pt>
                <c:pt idx="2132">
                  <c:v>82.6</c:v>
                </c:pt>
                <c:pt idx="2133">
                  <c:v>81.06</c:v>
                </c:pt>
                <c:pt idx="2134">
                  <c:v>79.14</c:v>
                </c:pt>
                <c:pt idx="2135">
                  <c:v>79.34</c:v>
                </c:pt>
                <c:pt idx="2136">
                  <c:v>79.25</c:v>
                </c:pt>
                <c:pt idx="2137">
                  <c:v>77.930000000000007</c:v>
                </c:pt>
                <c:pt idx="2138">
                  <c:v>77.040000000000006</c:v>
                </c:pt>
                <c:pt idx="2139">
                  <c:v>79.84</c:v>
                </c:pt>
                <c:pt idx="2140">
                  <c:v>86.84</c:v>
                </c:pt>
                <c:pt idx="2141">
                  <c:v>83.47</c:v>
                </c:pt>
                <c:pt idx="2142">
                  <c:v>86.45</c:v>
                </c:pt>
                <c:pt idx="2143">
                  <c:v>85.17</c:v>
                </c:pt>
                <c:pt idx="2144">
                  <c:v>85.41</c:v>
                </c:pt>
                <c:pt idx="2145">
                  <c:v>94.45</c:v>
                </c:pt>
                <c:pt idx="2146">
                  <c:v>97.13</c:v>
                </c:pt>
                <c:pt idx="2147">
                  <c:v>117.32</c:v>
                </c:pt>
                <c:pt idx="2148">
                  <c:v>132.4</c:v>
                </c:pt>
                <c:pt idx="2149">
                  <c:v>138.6</c:v>
                </c:pt>
                <c:pt idx="2150">
                  <c:v>128.22</c:v>
                </c:pt>
                <c:pt idx="2151">
                  <c:v>132.94</c:v>
                </c:pt>
                <c:pt idx="2152">
                  <c:v>114.37</c:v>
                </c:pt>
                <c:pt idx="2153">
                  <c:v>107.24</c:v>
                </c:pt>
                <c:pt idx="2154">
                  <c:v>99.17</c:v>
                </c:pt>
                <c:pt idx="2155">
                  <c:v>99.69</c:v>
                </c:pt>
                <c:pt idx="2156">
                  <c:v>94.73</c:v>
                </c:pt>
                <c:pt idx="2157">
                  <c:v>95.29</c:v>
                </c:pt>
                <c:pt idx="2158">
                  <c:v>92.28</c:v>
                </c:pt>
                <c:pt idx="2159">
                  <c:v>94.86</c:v>
                </c:pt>
                <c:pt idx="2160">
                  <c:v>97.84</c:v>
                </c:pt>
                <c:pt idx="2161">
                  <c:v>113.08</c:v>
                </c:pt>
              </c:numCache>
            </c:numRef>
          </c:val>
          <c:smooth val="0"/>
        </c:ser>
        <c:dLbls>
          <c:showLegendKey val="0"/>
          <c:showVal val="0"/>
          <c:showCatName val="0"/>
          <c:showSerName val="0"/>
          <c:showPercent val="0"/>
          <c:showBubbleSize val="0"/>
        </c:dLbls>
        <c:marker val="1"/>
        <c:smooth val="0"/>
        <c:axId val="92708864"/>
        <c:axId val="92730880"/>
      </c:lineChart>
      <c:dateAx>
        <c:axId val="92708864"/>
        <c:scaling>
          <c:orientation val="minMax"/>
        </c:scaling>
        <c:delete val="0"/>
        <c:axPos val="b"/>
        <c:numFmt formatCode="m/d/yyyy" sourceLinked="1"/>
        <c:majorTickMark val="out"/>
        <c:minorTickMark val="none"/>
        <c:tickLblPos val="nextTo"/>
        <c:txPr>
          <a:bodyPr/>
          <a:lstStyle/>
          <a:p>
            <a:pPr>
              <a:defRPr baseline="0">
                <a:latin typeface="Times New Roman" panose="02020603050405020304" pitchFamily="18" charset="0"/>
              </a:defRPr>
            </a:pPr>
            <a:endParaRPr lang="en-US"/>
          </a:p>
        </c:txPr>
        <c:crossAx val="92730880"/>
        <c:crosses val="autoZero"/>
        <c:auto val="1"/>
        <c:lblOffset val="100"/>
        <c:baseTimeUnit val="days"/>
      </c:dateAx>
      <c:valAx>
        <c:axId val="92730880"/>
        <c:scaling>
          <c:orientation val="minMax"/>
        </c:scaling>
        <c:delete val="0"/>
        <c:axPos val="l"/>
        <c:majorGridlines/>
        <c:title>
          <c:tx>
            <c:rich>
              <a:bodyPr rot="-5400000" vert="horz"/>
              <a:lstStyle/>
              <a:p>
                <a:pPr>
                  <a:defRPr sz="1100"/>
                </a:pPr>
                <a:r>
                  <a:rPr lang="en-US" sz="1100">
                    <a:latin typeface="Times New Roman" panose="02020603050405020304" pitchFamily="18" charset="0"/>
                    <a:cs typeface="Times New Roman" panose="02020603050405020304" pitchFamily="18" charset="0"/>
                  </a:rPr>
                  <a:t>Annual Pecentage</a:t>
                </a:r>
              </a:p>
            </c:rich>
          </c:tx>
          <c:layout>
            <c:manualLayout>
              <c:xMode val="edge"/>
              <c:yMode val="edge"/>
              <c:x val="1.731601436479286E-2"/>
              <c:y val="0.30682115760586876"/>
            </c:manualLayout>
          </c:layout>
          <c:overlay val="0"/>
        </c:title>
        <c:numFmt formatCode="General" sourceLinked="1"/>
        <c:majorTickMark val="out"/>
        <c:minorTickMark val="none"/>
        <c:tickLblPos val="nextTo"/>
        <c:txPr>
          <a:bodyPr/>
          <a:lstStyle/>
          <a:p>
            <a:pPr>
              <a:defRPr baseline="0">
                <a:latin typeface="Times New Roman" panose="02020603050405020304" pitchFamily="18" charset="0"/>
              </a:defRPr>
            </a:pPr>
            <a:endParaRPr lang="en-US"/>
          </a:p>
        </c:txPr>
        <c:crossAx val="92708864"/>
        <c:crosses val="autoZero"/>
        <c:crossBetween val="between"/>
      </c:valAx>
    </c:plotArea>
    <c:legend>
      <c:legendPos val="b"/>
      <c:overlay val="0"/>
      <c:txPr>
        <a:bodyPr/>
        <a:lstStyle/>
        <a:p>
          <a:pPr>
            <a:defRPr sz="1100" baseline="0">
              <a:latin typeface="Times New Roman" panose="02020603050405020304"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F693C6A-EB93-4DE2-A929-3E654A96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6762</Words>
  <Characters>38544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2015-06-25T18:58:00Z</dcterms:created>
  <dcterms:modified xsi:type="dcterms:W3CDTF">2015-06-26T20:10:00Z</dcterms:modified>
</cp:coreProperties>
</file>